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42" w:right="403" w:hanging="142"/>
      </w:pPr>
      <w:r/>
      <w:r/>
    </w:p>
    <w:p>
      <w:pPr>
        <w:jc w:val="right"/>
        <w:tabs>
          <w:tab w:val="left" w:pos="8280" w:leader="none"/>
        </w:tabs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Приложение №1 к договору №___________ от «___» _____ 2025г.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8280" w:leader="none"/>
        </w:tabs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709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 Требования к выполнению работ.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1.1 Общие требования к выполнению работ.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Cs/>
          <w:sz w:val="24"/>
          <w:szCs w:val="24"/>
        </w:rPr>
      </w:pPr>
      <w:r>
        <w:rPr>
          <w:i/>
          <w:sz w:val="24"/>
          <w:szCs w:val="24"/>
        </w:rPr>
        <w:t xml:space="preserve">1.1.1.Соблюдение при выполнении работ норм и правил нормативно-технических документов: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</w:pPr>
      <w:r>
        <w:t xml:space="preserve">положение «Об организации и выполнению технического обслуживания и ремонта </w:t>
      </w:r>
      <w:r>
        <w:t xml:space="preserve">оборудования АО «ДГК»» №21-</w:t>
      </w:r>
      <w:r>
        <w:t xml:space="preserve">002-2019 (приказ АО «ДГК» от 29.11.2019г. №555);</w:t>
      </w:r>
      <w:r/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</w:pPr>
      <w:r>
        <w:rPr>
          <w:sz w:val="22"/>
          <w:szCs w:val="22"/>
        </w:rPr>
        <w:t xml:space="preserve"> 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</w:t>
      </w:r>
      <w:r>
        <w:rPr>
          <w:sz w:val="22"/>
          <w:szCs w:val="22"/>
        </w:rPr>
        <w:t xml:space="preserve"> 18.01.2022г. №19</w:t>
      </w:r>
      <w:r>
        <w:t xml:space="preserve">);</w:t>
      </w:r>
      <w:r/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</w:pPr>
      <w:r>
        <w:rPr>
          <w:sz w:val="22"/>
          <w:szCs w:val="22"/>
        </w:rPr>
        <w:t xml:space="preserve"> СТО 17330282.27.100.006-2008 «Ремонт и техобслуживание оборудования, зданий и сооружений электрических станций и сетей. Условия выполнения работ подрядными организациями, нормы и требования»;</w:t>
      </w:r>
      <w:r/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</w:pPr>
      <w:r>
        <w:t xml:space="preserve">методические указания по организации технич</w:t>
      </w:r>
      <w:r>
        <w:t xml:space="preserve">еского обслуживания и ремонта основного и вспомогательного оборудования, зданий и сооружений тепловых электростанций (приказ АО «ДГК» от 12.10.2022г. №587);</w:t>
      </w:r>
      <w:r/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  <w:rPr>
          <w:lang w:eastAsia="en-US"/>
        </w:rPr>
      </w:pPr>
      <w:r>
        <w:rPr>
          <w:lang w:eastAsia="en-US"/>
        </w:rPr>
        <w:t xml:space="preserve">правила технической эксплуатации электрических станций и сетей (утв.Приказом Минэнерго России  от 0</w:t>
      </w:r>
      <w:r>
        <w:rPr>
          <w:lang w:eastAsia="en-US"/>
        </w:rPr>
        <w:t xml:space="preserve">4.10.2022 №1070);</w:t>
      </w:r>
      <w:r>
        <w:rPr>
          <w:lang w:eastAsia="en-US"/>
        </w:rPr>
      </w:r>
      <w:r>
        <w:rPr>
          <w:lang w:eastAsia="en-US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  <w:rPr>
          <w:lang w:eastAsia="en-US"/>
        </w:rPr>
      </w:pPr>
      <w:r>
        <w:rPr>
          <w:lang w:eastAsia="en-US"/>
        </w:rPr>
        <w:t xml:space="preserve">правила организации технического  обслуживания и ремонта объектов электроэнергетики (Утв. Приказом Минэнерго Росси от 25.10.2017г, №1013);</w:t>
      </w:r>
      <w:r>
        <w:rPr>
          <w:lang w:eastAsia="en-US"/>
        </w:rPr>
      </w:r>
      <w:r>
        <w:rPr>
          <w:lang w:eastAsia="en-US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  <w:rPr>
          <w:highlight w:val="white"/>
        </w:rPr>
      </w:pPr>
      <w:r>
        <w:rPr>
          <w:highlight w:val="white"/>
        </w:rPr>
        <w:t xml:space="preserve"> РД 34.45-51.300-97. Объем и нормы испытаний электрооборудования;</w:t>
      </w:r>
      <w:r>
        <w:rPr>
          <w:highlight w:val="white"/>
        </w:rPr>
      </w:r>
      <w:r>
        <w:rPr>
          <w:highlight w:val="white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  <w:rPr>
          <w:highlight w:val="white"/>
        </w:rPr>
      </w:pPr>
      <w:r>
        <w:rPr>
          <w:highlight w:val="white"/>
        </w:rPr>
        <w:t xml:space="preserve">СО 153-34.45.513-07.Руководство п</w:t>
      </w:r>
      <w:r>
        <w:rPr>
          <w:highlight w:val="white"/>
        </w:rPr>
        <w:t xml:space="preserve">о повышению надежности эксплуатации бандажных узлов роторов  турбогенераторов;</w:t>
      </w:r>
      <w:r>
        <w:rPr>
          <w:highlight w:val="white"/>
        </w:rPr>
      </w:r>
      <w:r>
        <w:rPr>
          <w:highlight w:val="white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  <w:rPr>
          <w:highlight w:val="white"/>
        </w:rPr>
      </w:pPr>
      <w:r>
        <w:rPr>
          <w:highlight w:val="white"/>
        </w:rPr>
        <w:t xml:space="preserve"> РД 153-34.0-45.510-98.Типовая инструкция по эксплуатации и ремонту узла контактных колец и щеточного аппарата турбогенераторов мощностью 63 МВт и выше;</w:t>
      </w:r>
      <w:r>
        <w:rPr>
          <w:highlight w:val="white"/>
        </w:rPr>
      </w:r>
      <w:r>
        <w:rPr>
          <w:highlight w:val="white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  <w:rPr>
          <w:highlight w:val="white"/>
        </w:rPr>
      </w:pPr>
      <w:r>
        <w:rPr>
          <w:highlight w:val="white"/>
        </w:rPr>
        <w:t xml:space="preserve">ТУ 34-38-20246-95</w:t>
      </w:r>
      <w:r>
        <w:rPr>
          <w:highlight w:val="white"/>
        </w:rPr>
        <w:t xml:space="preserve">.Турбогенераторы. Общие технические условия на капитальный ремонт;</w:t>
      </w:r>
      <w:r>
        <w:rPr>
          <w:highlight w:val="white"/>
        </w:rPr>
      </w:r>
      <w:r>
        <w:rPr>
          <w:highlight w:val="white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ОСТ 34-38-445-87. Система технического обслуживания и ремонт оборудования электростанций;</w:t>
      </w:r>
      <w:r>
        <w:rPr>
          <w:highlight w:val="white"/>
        </w:rPr>
      </w:r>
      <w:r>
        <w:rPr>
          <w:highlight w:val="white"/>
        </w:rPr>
      </w:r>
    </w:p>
    <w:p>
      <w:pPr>
        <w:pStyle w:val="808"/>
        <w:numPr>
          <w:ilvl w:val="0"/>
          <w:numId w:val="19"/>
        </w:numPr>
        <w:ind w:left="0" w:firstLine="0"/>
        <w:jc w:val="both"/>
        <w:tabs>
          <w:tab w:val="left" w:pos="256" w:leader="none"/>
        </w:tabs>
      </w:pPr>
      <w:r>
        <w:t xml:space="preserve">Производственными инструкциями и    проектами производства работ;</w:t>
      </w:r>
      <w:r/>
    </w:p>
    <w:p>
      <w:pPr>
        <w:pStyle w:val="808"/>
        <w:ind w:left="0"/>
        <w:jc w:val="both"/>
        <w:tabs>
          <w:tab w:val="left" w:pos="256" w:leader="none"/>
        </w:tabs>
        <w:rPr>
          <w:highlight w:val="white"/>
        </w:rPr>
      </w:pPr>
      <w:r>
        <w:rPr>
          <w:highlight w:val="white"/>
        </w:rPr>
        <w:t xml:space="preserve">В </w:t>
      </w:r>
      <w:r>
        <w:rPr>
          <w:highlight w:val="white"/>
        </w:rPr>
        <w:t xml:space="preserve">случае, если какой-либо из указанных нормативных документов был отменен в с</w:t>
      </w:r>
      <w:r>
        <w:rPr>
          <w:highlight w:val="white"/>
        </w:rPr>
        <w:t xml:space="preserve">вязи с выпуском новой редакции стандарта, то необходимо применять нормативный документ, принятый в его развитие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b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1.2. Требования к организации работ.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spacing w:before="60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i/>
          <w:sz w:val="24"/>
          <w:szCs w:val="24"/>
          <w:highlight w:val="white"/>
        </w:rPr>
        <w:t xml:space="preserve">1.2.1.Требования к организации п</w:t>
      </w:r>
      <w:r>
        <w:rPr>
          <w:i/>
          <w:sz w:val="24"/>
          <w:szCs w:val="24"/>
          <w:highlight w:val="white"/>
        </w:rPr>
        <w:t xml:space="preserve">роцесса вы</w:t>
      </w:r>
      <w:r>
        <w:rPr>
          <w:i/>
          <w:sz w:val="24"/>
          <w:szCs w:val="24"/>
        </w:rPr>
        <w:t xml:space="preserve">полнения работ: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sz w:val="24"/>
          <w:szCs w:val="24"/>
          <w:lang w:eastAsia="en-US"/>
        </w:rPr>
        <w:t xml:space="preserve">          </w:t>
      </w:r>
      <w:r>
        <w:rPr>
          <w:i w:val="0"/>
          <w:iCs w:val="0"/>
          <w:sz w:val="24"/>
          <w:szCs w:val="24"/>
          <w:lang w:val="ru-RU" w:eastAsia="en-US" w:bidi="ar-SA"/>
        </w:rPr>
        <w:t xml:space="preserve">Комплекс организационно–технических мероприятий, выпол</w:t>
      </w:r>
      <w:r>
        <w:rPr>
          <w:i w:val="0"/>
          <w:iCs w:val="0"/>
          <w:sz w:val="24"/>
          <w:szCs w:val="24"/>
          <w:lang w:val="ru-RU" w:eastAsia="en-US" w:bidi="ar-SA"/>
        </w:rPr>
        <w:t xml:space="preserve">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отремонтированных объектов, оптимальное расходование материально-технических и трудовые ресурсов. И</w:t>
      </w:r>
      <w:r>
        <w:rPr>
          <w:i w:val="0"/>
          <w:iCs w:val="0"/>
          <w:sz w:val="24"/>
          <w:szCs w:val="24"/>
          <w:lang w:val="ru-RU" w:eastAsia="en-US" w:bidi="ar-SA"/>
        </w:rPr>
        <w:t xml:space="preserve">сполнители ремонта разрабатывают проект производства работ,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en-US" w:bidi="ar-SA"/>
        </w:rPr>
        <w:t xml:space="preserve">Изменения объемов работ, предусмотренных ведомостью планируемых работ, оформляются в соответств</w:t>
      </w:r>
      <w:r>
        <w:rPr>
          <w:i w:val="0"/>
          <w:iCs w:val="0"/>
          <w:sz w:val="24"/>
          <w:szCs w:val="24"/>
          <w:lang w:val="ru-RU" w:eastAsia="en-US" w:bidi="ar-SA"/>
        </w:rPr>
        <w:t xml:space="preserve">ии с требованиями Правил ТОиР (ведомостью дополнительных работ по ремонту и протоколом исключения работ из ведомости планируемых работ по ремонту), согласовываются с исполнителями и утверждаются техническим руководителем структурного подразделения, ответст</w:t>
      </w:r>
      <w:r>
        <w:rPr>
          <w:i w:val="0"/>
          <w:iCs w:val="0"/>
          <w:sz w:val="24"/>
          <w:szCs w:val="24"/>
          <w:lang w:val="ru-RU" w:eastAsia="en-US" w:bidi="ar-SA"/>
        </w:rPr>
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en-US" w:bidi="ar-SA"/>
        </w:rPr>
        <w:t xml:space="preserve">До начала ремонта Подрядчик: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en-US" w:bidi="ar-SA"/>
        </w:rPr>
        <w:t xml:space="preserve">- разрабатывает и </w:t>
      </w:r>
      <w:r>
        <w:rPr>
          <w:i w:val="0"/>
          <w:iCs w:val="0"/>
          <w:sz w:val="24"/>
          <w:szCs w:val="24"/>
          <w:highlight w:val="white"/>
          <w:lang w:val="ru-RU" w:eastAsia="ru-RU" w:bidi="ar-SA"/>
        </w:rPr>
        <w:t xml:space="preserve">согласовывает проект производства работ с Заказчиком в части обеспечения условий безопасного производства работ, в том числе персоналом субподрядных организаций</w:t>
      </w:r>
      <w:r>
        <w:rPr>
          <w:i w:val="0"/>
          <w:iCs w:val="0"/>
          <w:sz w:val="24"/>
          <w:szCs w:val="24"/>
          <w:lang w:val="ru-RU" w:eastAsia="ru-RU" w:bidi="ar-SA"/>
        </w:rPr>
        <w:t xml:space="preserve">;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en-US" w:bidi="ar-SA"/>
        </w:rPr>
        <w:t xml:space="preserve">- </w:t>
      </w: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проводит проверку выполнения подготовительных работ в соответствии с планом подготовки к ремонту;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808"/>
        <w:contextualSpacing/>
        <w:ind w:left="0" w:firstLine="0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lang w:val="ru-RU" w:eastAsia="ru-RU" w:bidi="ar-SA"/>
        </w:rPr>
        <w:t xml:space="preserve">- </w:t>
      </w:r>
      <w:r>
        <w:rPr>
          <w:i w:val="0"/>
          <w:iCs w:val="0"/>
          <w:highlight w:val="white"/>
          <w:lang w:val="ru-RU" w:eastAsia="ru-RU" w:bidi="ar-SA"/>
        </w:rPr>
        <w:t xml:space="preserve">определяет состав бригад (участков) по ремонту отдельных узлов (систем) </w:t>
      </w:r>
      <w:r>
        <w:rPr>
          <w:i w:val="0"/>
          <w:iCs w:val="0"/>
          <w:sz w:val="24"/>
          <w:szCs w:val="24"/>
          <w:highlight w:val="white"/>
          <w:lang w:val="ru-RU" w:eastAsia="ru-RU" w:bidi="ar-SA"/>
        </w:rPr>
        <w:t xml:space="preserve">оборудования по численности, квалификации и профессиям</w:t>
      </w:r>
      <w:r>
        <w:rPr>
          <w:i w:val="0"/>
          <w:iCs w:val="0"/>
          <w:sz w:val="24"/>
          <w:szCs w:val="24"/>
          <w:lang w:val="ru-RU" w:eastAsia="en-US" w:bidi="ar-SA"/>
        </w:rPr>
        <w:t xml:space="preserve">.</w:t>
      </w: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 При этом должна быть обеспечена полная занятость рабочих в течение установленных графиком сроков производства работ;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808"/>
        <w:contextualSpacing/>
        <w:ind w:left="0" w:firstLine="0"/>
        <w:jc w:val="both"/>
        <w:spacing w:before="0" w:after="0"/>
        <w:widowControl/>
        <w:rPr>
          <w:i w:val="0"/>
          <w:iCs w:val="0"/>
          <w:lang w:val="ru-RU" w:eastAsia="ru-RU" w:bidi="ar-SA"/>
        </w:rPr>
      </w:pPr>
      <w:r>
        <w:rPr>
          <w:i w:val="0"/>
          <w:iCs w:val="0"/>
          <w:highlight w:val="white"/>
          <w:lang w:val="ru-RU" w:eastAsia="ru-RU" w:bidi="ar-SA"/>
        </w:rPr>
        <w:t xml:space="preserve">-назначает ответственных представителей для участия во входном контроле оборудования,запасных частей и материалов, дефектации, подготовке технических решений, контроле качества, приемке из ремонта узлов и систем оборудования;</w:t>
      </w:r>
      <w:r>
        <w:rPr>
          <w:i w:val="0"/>
          <w:iCs w:val="0"/>
          <w:lang w:val="ru-RU" w:eastAsia="ru-RU" w:bidi="ar-SA"/>
        </w:rPr>
      </w:r>
      <w:r>
        <w:rPr>
          <w:i w:val="0"/>
          <w:iCs w:val="0"/>
          <w:lang w:val="ru-RU" w:eastAsia="ru-RU" w:bidi="ar-SA"/>
        </w:rPr>
      </w:r>
    </w:p>
    <w:p>
      <w:pPr>
        <w:pStyle w:val="772"/>
        <w:ind w:firstLine="0"/>
        <w:jc w:val="left"/>
        <w:spacing w:before="0" w:after="0" w:line="240" w:lineRule="auto"/>
        <w:widowControl/>
        <w:rPr>
          <w:i w:val="0"/>
          <w:iCs w:val="0"/>
          <w:lang w:val="ru-RU" w:eastAsia="ru-RU" w:bidi="ar-SA"/>
        </w:rPr>
      </w:pPr>
      <w:r>
        <w:rPr>
          <w:i w:val="0"/>
          <w:iCs w:val="0"/>
          <w:sz w:val="24"/>
          <w:szCs w:val="24"/>
          <w:highlight w:val="white"/>
          <w:lang w:val="ru-RU" w:eastAsia="ru-RU" w:bidi="ar-SA"/>
        </w:rPr>
        <w:t xml:space="preserve">- назначает руководителей работ по ремонту отдельных видов оборудования в соответствии с номенклатурой и объемом работ, принятыми по договору;</w:t>
      </w:r>
      <w:r>
        <w:rPr>
          <w:i w:val="0"/>
          <w:iCs w:val="0"/>
          <w:lang w:val="ru-RU" w:eastAsia="ru-RU" w:bidi="ar-SA"/>
        </w:rPr>
      </w:r>
      <w:r>
        <w:rPr>
          <w:i w:val="0"/>
          <w:iCs w:val="0"/>
          <w:lang w:val="ru-RU" w:eastAsia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en-US" w:bidi="ar-SA"/>
        </w:rPr>
        <w:t xml:space="preserve">- </w:t>
      </w: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</w:t>
      </w:r>
      <w:r>
        <w:rPr>
          <w:i w:val="0"/>
          <w:iCs w:val="0"/>
          <w:sz w:val="24"/>
          <w:szCs w:val="24"/>
          <w:highlight w:val="white"/>
          <w:lang w:val="ru-RU" w:eastAsia="ru-RU" w:bidi="ar-SA"/>
        </w:rPr>
        <w:t xml:space="preserve">,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ru-RU" w:bidi="ar-SA"/>
        </w:rPr>
        <w:t xml:space="preserve">-</w:t>
      </w:r>
      <w:r>
        <w:rPr>
          <w:i w:val="0"/>
          <w:iCs w:val="0"/>
          <w:sz w:val="24"/>
          <w:szCs w:val="24"/>
          <w:highlight w:val="white"/>
          <w:lang w:val="ru-RU" w:eastAsia="ru-RU" w:bidi="ar-SA"/>
        </w:rPr>
        <w:t xml:space="preserve">обеспечивает готовность инструмента, технологической оснастки</w:t>
      </w: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;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en-US" w:bidi="ar-SA"/>
        </w:rPr>
        <w:t xml:space="preserve">-</w:t>
      </w: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проверяет удостоверения лиц специальностей на право выполнения работ при ремонте объектов;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lang w:val="ru-RU" w:eastAsia="en-US" w:bidi="ar-SA"/>
        </w:rPr>
        <w:t xml:space="preserve">- </w:t>
      </w: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выполнение требований допуска ремонтного и командированного персонала, предусмотренного п. 1.2.2 Технического задания.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lang w:val="ru-RU" w:bidi="ar-SA"/>
        </w:rPr>
      </w:pP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Применяемые при работах м</w:t>
      </w: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еханизмы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</w:r>
      <w:r>
        <w:rPr>
          <w:i w:val="0"/>
          <w:iCs w:val="0"/>
          <w:lang w:val="ru-RU" w:bidi="ar-SA"/>
        </w:rPr>
      </w:r>
      <w:r>
        <w:rPr>
          <w:i w:val="0"/>
          <w:iCs w:val="0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i w:val="0"/>
          <w:iCs w:val="0"/>
          <w:highlight w:val="white"/>
          <w:lang w:val="ru-RU" w:bidi="ar-SA"/>
        </w:rPr>
      </w:pPr>
      <w:r>
        <w:rPr>
          <w:i w:val="0"/>
          <w:iCs w:val="0"/>
          <w:sz w:val="24"/>
          <w:szCs w:val="24"/>
          <w:highlight w:val="white"/>
          <w:lang w:val="ru-RU" w:eastAsia="en-US" w:bidi="ar-SA"/>
        </w:rPr>
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</w:r>
      <w:r>
        <w:rPr>
          <w:i w:val="0"/>
          <w:iCs w:val="0"/>
          <w:highlight w:val="white"/>
          <w:lang w:val="ru-RU" w:bidi="ar-SA"/>
        </w:rPr>
      </w:r>
      <w:r>
        <w:rPr>
          <w:i w:val="0"/>
          <w:iCs w:val="0"/>
          <w:highlight w:val="white"/>
          <w:lang w:val="ru-RU" w:bidi="ar-SA"/>
        </w:rPr>
      </w:r>
    </w:p>
    <w:p>
      <w:pPr>
        <w:pStyle w:val="772"/>
        <w:jc w:val="both"/>
        <w:spacing w:before="0" w:after="0"/>
        <w:widowControl/>
        <w:rPr>
          <w:bCs/>
          <w:i w:val="0"/>
          <w:iCs w:val="0"/>
          <w:lang w:val="ru-RU" w:eastAsia="ru-RU" w:bidi="ar-SA"/>
        </w:rPr>
      </w:pPr>
      <w:r>
        <w:rPr>
          <w:bCs/>
          <w:i w:val="0"/>
          <w:iCs w:val="0"/>
          <w:lang w:val="ru-RU" w:eastAsia="ru-RU" w:bidi="ar-SA"/>
        </w:rPr>
      </w:r>
      <w:r>
        <w:rPr>
          <w:bCs/>
          <w:i w:val="0"/>
          <w:iCs w:val="0"/>
          <w:lang w:val="ru-RU" w:eastAsia="ru-RU" w:bidi="ar-SA"/>
        </w:rPr>
      </w:r>
      <w:r>
        <w:rPr>
          <w:bCs/>
          <w:i w:val="0"/>
          <w:iCs w:val="0"/>
          <w:lang w:val="ru-RU" w:eastAsia="ru-RU" w:bidi="ar-SA"/>
        </w:rPr>
      </w:r>
    </w:p>
    <w:p>
      <w:pPr>
        <w:spacing w:before="60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i/>
          <w:iCs/>
          <w:sz w:val="24"/>
          <w:szCs w:val="24"/>
        </w:rPr>
        <w:t xml:space="preserve">1.2.2.Организационно-технические мероприятия по допуску персонала подрядчика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456"/>
        <w:jc w:val="both"/>
        <w:spacing w:after="60"/>
      </w:pPr>
      <w:r>
        <w:rPr>
          <w:rFonts w:eastAsia="Courier New"/>
          <w:color w:val="000000"/>
          <w:sz w:val="24"/>
          <w:szCs w:val="24"/>
          <w:lang w:bidi="ru-RU"/>
        </w:rPr>
        <w:t xml:space="preserve">   </w:t>
      </w:r>
      <w:r>
        <w:rPr>
          <w:sz w:val="22"/>
          <w:szCs w:val="22"/>
        </w:rPr>
        <w:t xml:space="preserve">Допуск персона</w:t>
      </w:r>
      <w:r>
        <w:rPr>
          <w:sz w:val="22"/>
          <w:szCs w:val="22"/>
        </w:rPr>
        <w:t xml:space="preserve">ла подрядчика для выполнения работ должен осуществляться в соответствии с:        - Положением «О допуске персонала подрядных организаций к выполнению работ на объектах АО «ДГК» 22.1-504-2023, утвержденное приказом № 534 от 28.07.2023г.»;</w:t>
      </w:r>
      <w:r/>
    </w:p>
    <w:p>
      <w:pPr>
        <w:jc w:val="both"/>
        <w:spacing w:after="60"/>
      </w:pPr>
      <w:r>
        <w:rPr>
          <w:sz w:val="22"/>
          <w:szCs w:val="22"/>
        </w:rPr>
        <w:t xml:space="preserve">- Инструкцией о п</w:t>
      </w:r>
      <w:r>
        <w:rPr>
          <w:sz w:val="22"/>
          <w:szCs w:val="22"/>
        </w:rPr>
        <w:t xml:space="preserve">ропускном и внутриобъектовом режимах на объектах СП «Благовещенская ТЭЦ» АО «ДГК», с обязательным оформлением необходимых нарядов-допусков.</w:t>
      </w:r>
      <w:r/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1.3. </w:t>
      </w:r>
      <w:r>
        <w:rPr>
          <w:b/>
          <w:sz w:val="24"/>
          <w:szCs w:val="24"/>
        </w:rPr>
        <w:t xml:space="preserve">Требования к контролю качества работ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60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1.3.1.Контро</w:t>
      </w:r>
      <w:r>
        <w:rPr>
          <w:sz w:val="24"/>
          <w:szCs w:val="24"/>
        </w:rPr>
        <w:t xml:space="preserve">ль качества работ: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60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законом 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ПЭУ и других нормативных технических документов, действующих на момен</w:t>
      </w:r>
      <w:r>
        <w:rPr>
          <w:sz w:val="24"/>
          <w:szCs w:val="24"/>
        </w:rPr>
        <w:t xml:space="preserve">т заключения договора и добровольное обязательство о выполнении работ с качеством, соответствующим вышеперечисленным документам.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6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Руководители работ подрядных организаций, участвующие в производстве Работ совместно с представителями Заказчика, проводят опе</w:t>
      </w:r>
      <w:r>
        <w:rPr>
          <w:sz w:val="24"/>
          <w:szCs w:val="24"/>
        </w:rPr>
        <w:t xml:space="preserve">ративный контроль качества выполняемых ре</w:t>
      </w:r>
      <w:r>
        <w:rPr>
          <w:sz w:val="24"/>
          <w:szCs w:val="24"/>
        </w:rPr>
        <w:t xml:space="preserve">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772"/>
        <w:ind w:right="97" w:firstLine="460"/>
        <w:jc w:val="both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Приемка в эксплуатацию и контроль качества ремонта должны производиться в соответствии с: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72"/>
        <w:ind w:right="97"/>
        <w:jc w:val="both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 xml:space="preserve">-  разделами  №№4.2 «Положения об организации контроля и приемке выполненных работ на ремонтируемых объектах, объектах модернизации, реконструкции и технического перевооружения - 21-003-2019» </w:t>
      </w:r>
      <w:r>
        <w:rPr>
          <w:bCs/>
          <w:sz w:val="24"/>
          <w:szCs w:val="24"/>
        </w:rPr>
      </w:r>
    </w:p>
    <w:p>
      <w:pPr>
        <w:pStyle w:val="772"/>
        <w:spacing w:before="60" w:after="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1.3.2. </w:t>
      </w:r>
      <w:r>
        <w:rPr>
          <w:sz w:val="24"/>
          <w:szCs w:val="24"/>
        </w:rPr>
      </w:r>
      <w:r>
        <w:rPr>
          <w:sz w:val="24"/>
          <w:szCs w:val="24"/>
        </w:rPr>
        <w:t xml:space="preserve">Требования к используемым материально – техническим ресурсам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2"/>
        <w:jc w:val="both"/>
        <w:spacing w:before="0" w:after="60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Материалы, необходимые для выполнения работ, приобретаются подрядчиком самостоятельно согласно ведомостям объемов работ, являющейся приложением к настоящему Техническому заданию </w:t>
      </w:r>
      <w:r>
        <w:rPr>
          <w:sz w:val="24"/>
          <w:szCs w:val="24"/>
          <w:highlight w:val="white"/>
        </w:rPr>
        <w:t xml:space="preserve">(Приложение № 1.1-1.2.), </w:t>
      </w:r>
      <w:r>
        <w:rPr>
          <w:iCs/>
          <w:sz w:val="24"/>
          <w:szCs w:val="24"/>
        </w:rPr>
        <w:t xml:space="preserve">кроме Давальческих материалов (Приложение №8</w:t>
      </w:r>
      <w:r>
        <w:rPr>
          <w:iCs/>
          <w:sz w:val="24"/>
          <w:szCs w:val="24"/>
        </w:rPr>
        <w:t xml:space="preserve"> к Договору). 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772"/>
        <w:jc w:val="both"/>
        <w:spacing w:before="0" w:after="60"/>
        <w:rPr>
          <w:sz w:val="24"/>
          <w:szCs w:val="24"/>
        </w:rPr>
      </w:pPr>
      <w:r>
        <w:rPr>
          <w:sz w:val="24"/>
          <w:szCs w:val="24"/>
        </w:rPr>
        <w:t xml:space="preserve">Все применяемые материалы должны быть новыми и не использованными ранее.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2"/>
        <w:contextualSpacing/>
        <w:ind w:left="4"/>
        <w:jc w:val="both"/>
        <w:spacing w:before="0" w:after="0"/>
        <w:tabs>
          <w:tab w:val="left" w:pos="309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Подрядчиком в работе могут быть применены эквивалентные материалы*, предварительно согласованные с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2"/>
        <w:contextualSpacing/>
        <w:ind w:left="4"/>
        <w:jc w:val="both"/>
        <w:spacing w:before="0" w:after="0"/>
        <w:tabs>
          <w:tab w:val="left" w:pos="309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ведомостях объемов работ (Приложение № 1.1-1.2</w:t>
      </w:r>
      <w:r>
        <w:rPr>
          <w:sz w:val="24"/>
          <w:szCs w:val="24"/>
        </w:rPr>
        <w:t xml:space="preserve">. к настоящему техническому заданию), будет применяться эквивалентная продукция, Подрядчик принимает на себя все затраты по внесению соответствующих изменений проектную и сметную документацию, а также согласованию ее с Заказчиком без увеличения общей стоимости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2"/>
        <w:ind w:firstLine="456"/>
        <w:jc w:val="both"/>
        <w:spacing w:before="0" w:after="60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  <w:lang w:bidi="ru-RU"/>
        </w:rPr>
        <w:t xml:space="preserve">В сл</w:t>
      </w:r>
      <w:r>
        <w:rPr>
          <w:rFonts w:eastAsia="Courier New"/>
          <w:color w:val="000000"/>
          <w:sz w:val="24"/>
          <w:szCs w:val="24"/>
          <w:lang w:bidi="ru-RU"/>
        </w:rPr>
        <w:t xml:space="preserve">учае, если в документации (в том числе Ведомостях объемов работ) содержатся указания на товарные знаки в отношении МТР, использование которых осуществляется в ходе исполнения Договора, применительно к таким товарным знакам следует читать «или эквивалент»*.</w:t>
      </w:r>
      <w:r>
        <w:rPr>
          <w:rFonts w:eastAsia="Courier New"/>
          <w:color w:val="000000"/>
          <w:sz w:val="24"/>
          <w:szCs w:val="24"/>
        </w:rPr>
      </w:r>
      <w:r>
        <w:rPr>
          <w:rFonts w:eastAsia="Courier New"/>
          <w:color w:val="000000"/>
          <w:sz w:val="24"/>
          <w:szCs w:val="24"/>
        </w:rPr>
      </w:r>
    </w:p>
    <w:p>
      <w:pPr>
        <w:pStyle w:val="772"/>
        <w:ind w:firstLine="456"/>
        <w:jc w:val="both"/>
        <w:spacing w:before="0" w:after="60"/>
        <w:rPr>
          <w:rFonts w:eastAsia="Courier New"/>
          <w:color w:val="000000" w:themeColor="text1"/>
          <w:sz w:val="24"/>
          <w:szCs w:val="24"/>
          <w:highlight w:val="none"/>
        </w:rPr>
      </w:pPr>
      <w:r>
        <w:rPr>
          <w:rFonts w:eastAsia="Courier New"/>
          <w:color w:val="000000"/>
          <w:sz w:val="24"/>
          <w:szCs w:val="24"/>
          <w:lang w:bidi="ru-RU"/>
        </w:rPr>
        <w:t xml:space="preserve">*Эквивалентная продукция – это продукция, которая по техническим и функциональным характеристикам не уступает характеристикам, заявленным </w:t>
      </w:r>
      <w:r>
        <w:rPr>
          <w:rFonts w:eastAsia="Courier New"/>
          <w:color w:val="000000" w:themeColor="text1"/>
          <w:sz w:val="24"/>
          <w:szCs w:val="24"/>
          <w:lang w:bidi="ru-RU"/>
        </w:rPr>
        <w:t xml:space="preserve">в ведомости материалов Подрядчика и проектной документации,  в том числе, по гарантийным срокам и срокам эксплуатации.</w:t>
      </w:r>
      <w:r>
        <w:rPr>
          <w:rFonts w:eastAsia="Courier New"/>
          <w:color w:val="000000" w:themeColor="text1"/>
          <w:sz w:val="24"/>
          <w:szCs w:val="24"/>
        </w:rPr>
      </w:r>
      <w:r>
        <w:rPr>
          <w:rFonts w:eastAsia="Courier New"/>
          <w:color w:val="000000" w:themeColor="text1"/>
          <w:sz w:val="24"/>
          <w:szCs w:val="24"/>
        </w:rPr>
      </w:r>
    </w:p>
    <w:p>
      <w:pPr>
        <w:ind w:firstLine="456"/>
        <w:jc w:val="both"/>
        <w:spacing w:before="0" w:after="60"/>
        <w:rPr>
          <w:rFonts w:eastAsia="Courier New"/>
          <w:color w:val="000000" w:themeColor="text1"/>
          <w:sz w:val="24"/>
          <w:szCs w:val="24"/>
          <w:highlight w:val="none"/>
        </w:rPr>
      </w:pPr>
      <w:r>
        <w:rPr>
          <w:rFonts w:eastAsia="Courier New"/>
          <w:color w:val="000000" w:themeColor="text1"/>
          <w:sz w:val="24"/>
          <w:szCs w:val="24"/>
          <w:highlight w:val="none"/>
        </w:rPr>
        <w:t xml:space="preserve">1.3.3. </w:t>
      </w:r>
      <w:r>
        <w:rPr>
          <w:sz w:val="24"/>
          <w:szCs w:val="24"/>
        </w:rPr>
        <w:t xml:space="preserve">Контроль качества используемых материалов</w:t>
      </w:r>
      <w:r/>
      <w:r>
        <w:rPr>
          <w:rFonts w:eastAsia="Courier New"/>
          <w:color w:val="000000" w:themeColor="text1"/>
          <w:sz w:val="24"/>
          <w:szCs w:val="24"/>
          <w:highlight w:val="none"/>
        </w:rPr>
      </w:r>
      <w:r>
        <w:rPr>
          <w:rFonts w:eastAsia="Courier New"/>
          <w:color w:val="000000" w:themeColor="text1"/>
          <w:sz w:val="24"/>
          <w:szCs w:val="24"/>
          <w:highlight w:val="none"/>
        </w:rPr>
      </w:r>
    </w:p>
    <w:p>
      <w:pPr>
        <w:pStyle w:val="772"/>
        <w:ind w:firstLine="456"/>
        <w:jc w:val="both"/>
        <w:spacing w:before="0" w:after="60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  <w:lang w:bidi="ru-RU"/>
        </w:rPr>
        <w:t xml:space="preserve">Материально – технические ресурсы должны иметь сертификаты, паспорта, подтверждающие их качество.</w:t>
      </w:r>
      <w:r>
        <w:rPr>
          <w:rFonts w:eastAsia="Courier New"/>
          <w:color w:val="000000"/>
          <w:sz w:val="24"/>
          <w:szCs w:val="24"/>
        </w:rPr>
      </w:r>
      <w:r>
        <w:rPr>
          <w:rFonts w:eastAsia="Courier New"/>
          <w:color w:val="000000"/>
          <w:sz w:val="24"/>
          <w:szCs w:val="24"/>
        </w:rPr>
      </w:r>
    </w:p>
    <w:p>
      <w:pPr>
        <w:pStyle w:val="772"/>
        <w:ind w:firstLine="456"/>
        <w:jc w:val="both"/>
        <w:spacing w:before="0" w:after="60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  <w:lang w:bidi="ru-RU"/>
        </w:rPr>
        <w:t xml:space="preserve">При осуществлении Подрядчиком входного контроля качества материально – технических ресурсов, поступивших на место производства работ, обязательно нал</w:t>
      </w:r>
      <w:r>
        <w:rPr>
          <w:rFonts w:eastAsia="Courier New"/>
          <w:color w:val="000000"/>
          <w:sz w:val="24"/>
          <w:szCs w:val="24"/>
          <w:lang w:bidi="ru-RU"/>
        </w:rPr>
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оборудования в данном журнале дает основание Заказчику в отказе приемки выполненных работ с использованием соответствующих материалов.</w:t>
      </w:r>
      <w:r>
        <w:rPr>
          <w:rFonts w:eastAsia="Courier New"/>
          <w:color w:val="000000"/>
          <w:sz w:val="24"/>
          <w:szCs w:val="24"/>
        </w:rPr>
      </w:r>
      <w:r>
        <w:rPr>
          <w:rFonts w:eastAsia="Courier New"/>
          <w:color w:val="000000"/>
          <w:sz w:val="24"/>
          <w:szCs w:val="24"/>
        </w:rPr>
      </w:r>
    </w:p>
    <w:p>
      <w:pPr>
        <w:jc w:val="both"/>
        <w:spacing w:after="6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/>
    </w:p>
    <w:p>
      <w:pPr>
        <w:spacing w:before="60"/>
      </w:pPr>
      <w:r>
        <w:rPr>
          <w:b/>
          <w:bCs/>
          <w:sz w:val="24"/>
          <w:szCs w:val="24"/>
        </w:rPr>
        <w:t xml:space="preserve">1.4.</w:t>
      </w:r>
      <w:r>
        <w:rPr>
          <w:b/>
          <w:sz w:val="24"/>
          <w:szCs w:val="24"/>
        </w:rPr>
        <w:t xml:space="preserve">Требования к безопасности работ </w:t>
      </w:r>
      <w:r>
        <w:rPr>
          <w:b/>
          <w:sz w:val="24"/>
          <w:szCs w:val="24"/>
        </w:rPr>
        <w:t xml:space="preserve">и охране труда</w:t>
      </w:r>
      <w:r/>
    </w:p>
    <w:p>
      <w:pPr>
        <w:spacing w:before="60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i/>
          <w:iCs/>
          <w:sz w:val="24"/>
          <w:szCs w:val="24"/>
        </w:rPr>
        <w:t xml:space="preserve">1.4.1.Тр</w:t>
      </w:r>
      <w:r>
        <w:rPr>
          <w:i/>
          <w:sz w:val="24"/>
          <w:szCs w:val="24"/>
        </w:rPr>
        <w:t xml:space="preserve">ебования к безопасности выполняемых работ</w:t>
      </w:r>
      <w:r>
        <w:rPr>
          <w:b/>
          <w:i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456"/>
        <w:jc w:val="both"/>
        <w:spacing w:after="60"/>
        <w:rPr>
          <w:rFonts w:eastAsia="Courier New"/>
          <w:color w:val="000000"/>
          <w:sz w:val="24"/>
          <w:szCs w:val="24"/>
        </w:rPr>
      </w:pPr>
      <w:r>
        <w:rPr>
          <w:rFonts w:eastAsia="Courier New"/>
          <w:color w:val="000000"/>
          <w:sz w:val="24"/>
          <w:szCs w:val="24"/>
          <w:lang w:bidi="ru-RU"/>
        </w:rPr>
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rFonts w:eastAsia="Courier New"/>
          <w:color w:val="000000"/>
          <w:sz w:val="24"/>
          <w:szCs w:val="24"/>
        </w:rPr>
      </w:r>
      <w:r>
        <w:rPr>
          <w:rFonts w:eastAsia="Courier New"/>
          <w:color w:val="000000"/>
          <w:sz w:val="24"/>
          <w:szCs w:val="24"/>
        </w:rPr>
      </w:r>
    </w:p>
    <w:p>
      <w:pPr>
        <w:pStyle w:val="808"/>
        <w:numPr>
          <w:ilvl w:val="0"/>
          <w:numId w:val="21"/>
        </w:numPr>
        <w:ind w:left="0" w:firstLine="0"/>
        <w:jc w:val="both"/>
        <w:spacing w:after="60"/>
        <w:tabs>
          <w:tab w:val="left" w:pos="241" w:leader="none"/>
          <w:tab w:val="right" w:pos="9637" w:leader="none"/>
        </w:tabs>
      </w:pPr>
      <w:r>
        <w:t xml:space="preserve">ГОСТ 12.2.003 ССБТ. </w:t>
      </w:r>
      <w:r>
        <w:t xml:space="preserve">Оборудование производственное. Общие требования безопасности;</w:t>
      </w:r>
      <w:r>
        <w:tab/>
      </w:r>
      <w:r/>
    </w:p>
    <w:p>
      <w:pPr>
        <w:pStyle w:val="808"/>
        <w:ind w:left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  <w:lang w:bidi="ru-RU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</w:t>
      </w:r>
      <w:r>
        <w:rPr>
          <w:rFonts w:eastAsia="Courier New"/>
          <w:color w:val="000000"/>
        </w:rPr>
      </w:r>
      <w:r>
        <w:rPr>
          <w:rFonts w:eastAsia="Courier New"/>
          <w:color w:val="000000"/>
        </w:rPr>
      </w:r>
    </w:p>
    <w:p>
      <w:pPr>
        <w:spacing w:before="60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i/>
          <w:iCs/>
          <w:sz w:val="24"/>
          <w:szCs w:val="24"/>
        </w:rPr>
        <w:t xml:space="preserve">1.4.</w:t>
      </w:r>
      <w:r>
        <w:rPr>
          <w:i/>
          <w:iCs/>
          <w:sz w:val="24"/>
          <w:szCs w:val="24"/>
        </w:rPr>
        <w:t xml:space="preserve">2.Соб</w:t>
      </w:r>
      <w:r>
        <w:rPr>
          <w:i/>
          <w:sz w:val="24"/>
          <w:szCs w:val="24"/>
        </w:rPr>
        <w:t xml:space="preserve">людение требований к пожарной безопасности: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08"/>
        <w:ind w:left="0" w:hanging="37"/>
        <w:jc w:val="both"/>
        <w:tabs>
          <w:tab w:val="left" w:pos="181" w:leader="none"/>
        </w:tabs>
      </w:pPr>
      <w:r>
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/>
    </w:p>
    <w:p>
      <w:pPr>
        <w:pStyle w:val="808"/>
        <w:ind w:left="0" w:hanging="37"/>
        <w:jc w:val="both"/>
        <w:tabs>
          <w:tab w:val="left" w:pos="181" w:leader="none"/>
        </w:tabs>
      </w:pPr>
      <w:r>
        <w:t xml:space="preserve">Правилах противопожарного ре</w:t>
      </w:r>
      <w:r>
        <w:t xml:space="preserve">жима в Российской Федерации, утверждены Постановлением Правительства РФ от 16.09.2020 № 1479;</w:t>
      </w:r>
      <w:r/>
    </w:p>
    <w:p>
      <w:pPr>
        <w:pStyle w:val="808"/>
        <w:ind w:left="0" w:hanging="37"/>
        <w:jc w:val="both"/>
        <w:tabs>
          <w:tab w:val="left" w:pos="181" w:leader="none"/>
        </w:tabs>
      </w:pPr>
      <w:r>
        <w:t xml:space="preserve">При выполнении работ дополнительно необходимо соблюдать требования объектовых (про</w:t>
      </w:r>
      <w:r>
        <w:t xml:space="preserve">изводственных) инструкций, пожарные и санитарные нормы, правила охраны труда, де</w:t>
      </w:r>
      <w:r>
        <w:t xml:space="preserve">йствующие на предприятии Заказчика.</w:t>
      </w:r>
      <w:r/>
    </w:p>
    <w:p>
      <w:pPr>
        <w:pStyle w:val="808"/>
        <w:ind w:left="0" w:hanging="37"/>
        <w:jc w:val="both"/>
        <w:tabs>
          <w:tab w:val="left" w:pos="181" w:leader="none"/>
        </w:tabs>
      </w:pPr>
      <w:r>
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</w:r>
      <w:r/>
    </w:p>
    <w:p>
      <w:pPr>
        <w:pStyle w:val="808"/>
        <w:ind w:left="0" w:hanging="37"/>
        <w:jc w:val="both"/>
        <w:tabs>
          <w:tab w:val="left" w:pos="181" w:leader="none"/>
        </w:tabs>
      </w:pPr>
      <w:r>
        <w:t xml:space="preserve">Персональную ответственность</w:t>
      </w:r>
      <w:r>
        <w:t xml:space="preserve"> за обеспечение пожарной безопасности несёт руководитель подрядной организации или лицо, его замещающее.</w:t>
      </w:r>
      <w:r/>
    </w:p>
    <w:p>
      <w:pPr>
        <w:pStyle w:val="808"/>
        <w:ind w:left="0" w:hanging="37"/>
        <w:jc w:val="both"/>
        <w:tabs>
          <w:tab w:val="left" w:pos="181" w:leader="none"/>
        </w:tabs>
      </w:pPr>
      <w:r>
        <w:t xml:space="preserve">Место производства работ должно быть оснащено средствами пожаротушения. </w:t>
      </w:r>
      <w:r/>
    </w:p>
    <w:p>
      <w:pPr>
        <w:pStyle w:val="808"/>
        <w:ind w:left="0" w:hanging="37"/>
        <w:jc w:val="both"/>
        <w:tabs>
          <w:tab w:val="left" w:pos="181" w:leader="none"/>
        </w:tabs>
      </w:pPr>
      <w:r>
        <w:t xml:space="preserve">В случае, если какой-либо из указанных нормативных документов был отменен в св</w:t>
      </w:r>
      <w:r>
        <w:t xml:space="preserve">язи с выпуском новой редакции стандарта, то необходимо применять нормативный документ, принятый в его развитие.</w:t>
      </w:r>
      <w:r/>
    </w:p>
    <w:p>
      <w:pPr>
        <w:spacing w:before="60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i/>
          <w:sz w:val="24"/>
          <w:szCs w:val="24"/>
        </w:rPr>
        <w:t xml:space="preserve">1.4.3.</w:t>
      </w:r>
      <w:r>
        <w:rPr>
          <w:i/>
          <w:sz w:val="24"/>
          <w:szCs w:val="24"/>
        </w:rPr>
        <w:t xml:space="preserve">Соблюдение требований к охране окружающей среды: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456"/>
        <w:jc w:val="both"/>
        <w:spacing w:after="60"/>
      </w:pPr>
      <w:r>
        <w:rPr>
          <w:rFonts w:eastAsia="Courier New"/>
          <w:color w:val="000000"/>
          <w:sz w:val="22"/>
          <w:szCs w:val="22"/>
          <w:lang w:bidi="ru-RU"/>
        </w:rPr>
        <w:t xml:space="preserve">При выполнении ремонтных работ необходимо строго соблюдать требования защиты окружающей с</w:t>
      </w:r>
      <w:r>
        <w:rPr>
          <w:rFonts w:eastAsia="Courier New"/>
          <w:color w:val="000000"/>
          <w:sz w:val="22"/>
          <w:szCs w:val="22"/>
          <w:lang w:bidi="ru-RU"/>
        </w:rPr>
        <w:t xml:space="preserve">реды, сохранения её устойчивого равновесия и не нарушать условия землепользования, установленные законодательством об охране природы.</w:t>
      </w:r>
      <w:r/>
    </w:p>
    <w:p>
      <w:pPr>
        <w:ind w:firstLine="456"/>
        <w:jc w:val="both"/>
        <w:spacing w:after="60"/>
      </w:pPr>
      <w:r>
        <w:rPr>
          <w:rFonts w:eastAsia="Courier New"/>
          <w:color w:val="000000"/>
          <w:sz w:val="22"/>
          <w:szCs w:val="22"/>
          <w:lang w:bidi="ru-RU"/>
        </w:rPr>
        <w:t xml:space="preserve">Отходы, строительный мусор должны своевременно вывозиться для дальнейшей утилизации.</w:t>
      </w:r>
      <w:r/>
    </w:p>
    <w:p>
      <w:pPr>
        <w:ind w:firstLine="456"/>
        <w:jc w:val="both"/>
        <w:spacing w:after="60"/>
      </w:pPr>
      <w:r>
        <w:rPr>
          <w:rFonts w:eastAsia="Courier New"/>
          <w:color w:val="000000"/>
          <w:sz w:val="22"/>
          <w:szCs w:val="22"/>
          <w:lang w:bidi="ru-RU"/>
        </w:rPr>
        <w:t xml:space="preserve">Мероприятия и работы по охране окружающей среды вести в соответствии: </w:t>
      </w:r>
      <w:r/>
    </w:p>
    <w:p>
      <w:pPr>
        <w:jc w:val="both"/>
        <w:spacing w:after="60"/>
      </w:pPr>
      <w:r>
        <w:rPr>
          <w:rFonts w:eastAsia="Courier New"/>
          <w:color w:val="000000"/>
          <w:sz w:val="22"/>
          <w:szCs w:val="22"/>
          <w:lang w:bidi="ru-RU"/>
        </w:rPr>
        <w:t xml:space="preserve">Федеральный закон от 10.01.2002 № 7-ФЗ «Об охране окружающей среды» (ред. от 02.07.21);</w:t>
      </w:r>
      <w:r/>
    </w:p>
    <w:p>
      <w:pPr>
        <w:jc w:val="both"/>
        <w:spacing w:after="60"/>
      </w:pPr>
      <w:r>
        <w:rPr>
          <w:rFonts w:eastAsia="Courier New"/>
          <w:color w:val="000000"/>
          <w:sz w:val="22"/>
          <w:szCs w:val="22"/>
          <w:lang w:bidi="ru-RU"/>
        </w:rPr>
        <w:t xml:space="preserve">Федеральный закон от 04.05.1999 № 96-ФЗ «Об охране атмосферного воздуха» (ред. от 11.06.2021);</w:t>
      </w:r>
      <w:r/>
    </w:p>
    <w:p>
      <w:pPr>
        <w:pStyle w:val="808"/>
        <w:ind w:left="0" w:firstLine="456"/>
        <w:jc w:val="both"/>
        <w:spacing w:after="60"/>
        <w:rPr>
          <w:rFonts w:eastAsia="Courier New"/>
          <w:color w:val="000000"/>
        </w:rPr>
      </w:pPr>
      <w:r>
        <w:rPr>
          <w:rFonts w:eastAsia="Courier New"/>
          <w:color w:val="000000"/>
          <w:sz w:val="22"/>
          <w:szCs w:val="22"/>
          <w:lang w:bidi="ru-RU"/>
        </w:rPr>
        <w:t xml:space="preserve">В </w:t>
      </w:r>
      <w:r>
        <w:rPr>
          <w:rFonts w:eastAsia="Courier New"/>
          <w:color w:val="000000"/>
          <w:sz w:val="22"/>
          <w:szCs w:val="22"/>
          <w:lang w:bidi="ru-RU"/>
        </w:rPr>
        <w:t xml:space="preserve">случае, если какой-либо из указанных нормативных документов был отменен в связи с выпус</w:t>
      </w:r>
      <w:r>
        <w:rPr>
          <w:rFonts w:eastAsia="Courier New"/>
          <w:color w:val="000000"/>
          <w:sz w:val="22"/>
          <w:szCs w:val="22"/>
          <w:lang w:bidi="ru-RU"/>
        </w:rPr>
        <w:t xml:space="preserve">ком новой редакции стандарта, то необходимо применять нормативный документ, принятый в его развитие</w:t>
      </w:r>
      <w:r>
        <w:rPr>
          <w:rFonts w:eastAsia="Courier New"/>
          <w:color w:val="000000"/>
        </w:rPr>
      </w:r>
      <w:r>
        <w:rPr>
          <w:rFonts w:eastAsia="Courier New"/>
          <w:color w:val="000000"/>
        </w:rPr>
      </w:r>
    </w:p>
    <w:p>
      <w:pPr>
        <w:spacing w:before="60"/>
        <w:widowControl w:val="off"/>
        <w:tabs>
          <w:tab w:val="left" w:pos="426" w:leader="none"/>
        </w:tabs>
        <w:rPr>
          <w:bCs/>
          <w:sz w:val="24"/>
          <w:szCs w:val="24"/>
        </w:rPr>
      </w:pPr>
      <w:r>
        <w:rPr>
          <w:i/>
          <w:iCs/>
          <w:sz w:val="24"/>
          <w:szCs w:val="24"/>
        </w:rPr>
        <w:t xml:space="preserve">1.4.4</w:t>
      </w:r>
      <w:r>
        <w:rPr>
          <w:i/>
          <w:iCs/>
          <w:sz w:val="24"/>
          <w:szCs w:val="24"/>
        </w:rPr>
        <w:t xml:space="preserve">. </w:t>
      </w:r>
      <w:bookmarkStart w:id="0" w:name="_GoBack"/>
      <w:r/>
      <w:bookmarkEnd w:id="0"/>
      <w:r>
        <w:rPr>
          <w:i/>
          <w:iCs/>
          <w:sz w:val="24"/>
          <w:szCs w:val="24"/>
        </w:rPr>
        <w:t xml:space="preserve">С</w:t>
      </w:r>
      <w:r>
        <w:rPr>
          <w:i/>
          <w:sz w:val="24"/>
          <w:szCs w:val="24"/>
        </w:rPr>
        <w:t xml:space="preserve">облюдение требований охраны труда: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Меры по соблюдению требован</w:t>
      </w:r>
      <w:r>
        <w:rPr>
          <w:sz w:val="22"/>
          <w:szCs w:val="22"/>
        </w:rPr>
        <w:t xml:space="preserve">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Правилах по охране труда при работе на высоте (утверждены приказом Министерства труда </w:t>
      </w:r>
      <w:r>
        <w:rPr>
          <w:sz w:val="22"/>
          <w:szCs w:val="22"/>
        </w:rPr>
        <w:t xml:space="preserve">от 16.11.2020 №782н);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Правилах по охране труда при работе с инструментом и приспособлениями (утверждены приказом Министерства труда от 27.11.2020 № 835н);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Правилах по охране труда при размещении, монтаже, техническом обслуживании и ремонте технологичес</w:t>
      </w:r>
      <w:r>
        <w:rPr>
          <w:sz w:val="22"/>
          <w:szCs w:val="22"/>
        </w:rPr>
        <w:t xml:space="preserve">кого оборудования (утверждены приказом Министерства труда от 27.11.2020 №833н);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Правилах по охране труда при эксплуатации электроустановок, утвержденные Приказом Министерства труда и социальной защиты РФ от 15.12.2020 №903н. 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 по охране труда пр</w:t>
      </w:r>
      <w:r>
        <w:rPr>
          <w:sz w:val="22"/>
          <w:szCs w:val="22"/>
        </w:rPr>
        <w:t xml:space="preserve">и обработке металлов (утв. приказом Министерства труда и социальной защиты Российской Федерации от 11.12.2020г. №887н);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Правилах при погрузочно-разгрузочных работах и размещении грузов (утв. приказом Министерства труда и социальной защиты Российской Феде</w:t>
      </w:r>
      <w:r>
        <w:rPr>
          <w:sz w:val="22"/>
          <w:szCs w:val="22"/>
        </w:rPr>
        <w:t xml:space="preserve">рации от 28.10.2020г. №753н);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Правилах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– Правилах безопасности опасны</w:t>
      </w:r>
      <w:r>
        <w:rPr>
          <w:sz w:val="22"/>
          <w:szCs w:val="22"/>
        </w:rPr>
        <w:t xml:space="preserve">х производственных объектов, на которых используются подъемные сооружения (утв. приказом Федеральной </w:t>
      </w:r>
      <w:r>
        <w:rPr>
          <w:sz w:val="22"/>
          <w:szCs w:val="22"/>
        </w:rPr>
        <w:t xml:space="preserve">службы по экологическому, технологическому и атомному надзору от 26.11.2020г. №461).</w:t>
      </w:r>
      <w:r/>
    </w:p>
    <w:p>
      <w:pPr>
        <w:pStyle w:val="808"/>
        <w:ind w:left="-3"/>
        <w:jc w:val="both"/>
      </w:pPr>
      <w:r>
        <w:rPr>
          <w:sz w:val="22"/>
          <w:szCs w:val="22"/>
        </w:rPr>
        <w:t xml:space="preserve">В случае, если какой-либо из указанных нормативных документов был отме</w:t>
      </w:r>
      <w:r>
        <w:rPr>
          <w:sz w:val="22"/>
          <w:szCs w:val="22"/>
        </w:rPr>
        <w:t xml:space="preserve">нен в связи с выпуском новой редакции стандарта, то необходимо применять нормативный документ, принятый в его развитие</w:t>
      </w:r>
      <w:r/>
    </w:p>
    <w:p>
      <w:pPr>
        <w:pStyle w:val="808"/>
        <w:ind w:left="0" w:hanging="37"/>
        <w:jc w:val="both"/>
        <w:tabs>
          <w:tab w:val="left" w:pos="181" w:leader="none"/>
        </w:tabs>
      </w:pPr>
      <w:r/>
      <w:r/>
    </w:p>
    <w:p>
      <w:pPr>
        <w:pStyle w:val="808"/>
        <w:ind w:left="0"/>
      </w:pPr>
      <w:r>
        <w:rPr>
          <w:b/>
          <w:bCs/>
        </w:rPr>
        <w:t xml:space="preserve">1.5.</w:t>
      </w:r>
      <w:r>
        <w:rPr>
          <w:b/>
        </w:rPr>
        <w:t xml:space="preserve">Требования к персоналу подрядчика</w:t>
      </w:r>
      <w:r/>
    </w:p>
    <w:p>
      <w:pPr>
        <w:pStyle w:val="808"/>
        <w:ind w:left="-71"/>
        <w:jc w:val="both"/>
      </w:pPr>
      <w:r>
        <w:t xml:space="preserve">        Квалификация персонала должна соответствовать видам выполняемых работ и располагать:</w:t>
      </w:r>
      <w:r/>
    </w:p>
    <w:p>
      <w:pPr>
        <w:pStyle w:val="808"/>
        <w:ind w:left="-71"/>
        <w:jc w:val="both"/>
      </w:pPr>
      <w:r>
        <w:t xml:space="preserve"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</w:r>
      <w:r/>
    </w:p>
    <w:p>
      <w:pPr>
        <w:pStyle w:val="808"/>
        <w:ind w:left="-71"/>
        <w:jc w:val="both"/>
      </w:pPr>
      <w:r>
        <w:t xml:space="preserve">- достаточным </w:t>
      </w:r>
      <w:r>
        <w:t xml:space="preserve">количеством аттестованного персонала, организованного по принципу комплексных специализированных бригад.</w:t>
      </w:r>
      <w:r/>
    </w:p>
    <w:p>
      <w:pPr>
        <w:pStyle w:val="808"/>
        <w:ind w:left="-71"/>
        <w:jc w:val="both"/>
      </w:pPr>
      <w:r>
        <w:t xml:space="preserve">Подрядчик должен:</w:t>
      </w:r>
      <w:r/>
    </w:p>
    <w:p>
      <w:pPr>
        <w:pStyle w:val="808"/>
        <w:ind w:left="-71"/>
        <w:jc w:val="both"/>
      </w:pPr>
      <w:r>
        <w:t xml:space="preserve">- обладать гражданской правоспособностью в полном объёме для заключения и исполнения договора подряда (должен быть зарегистрирован в </w:t>
      </w:r>
      <w:r>
        <w:t xml:space="preserve">установленном порядке и иметь соответствующие разрешения на выполнение видов работ в рамках договора подряда);</w:t>
      </w:r>
      <w:r/>
    </w:p>
    <w:p>
      <w:pPr>
        <w:pStyle w:val="808"/>
        <w:ind w:left="-71"/>
        <w:jc w:val="both"/>
      </w:pPr>
      <w:r>
        <w:t xml:space="preserve">Во время проведения работ команда ИТР Подрядчика должна поддерживать на должном уровне систему управления работами (инструментальное и материальн</w:t>
      </w:r>
      <w:r>
        <w:t xml:space="preserve">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</w:r>
      <w:r/>
    </w:p>
    <w:p>
      <w:pPr>
        <w:pStyle w:val="808"/>
        <w:ind w:left="-71"/>
        <w:jc w:val="both"/>
      </w:pPr>
      <w:r>
        <w:t xml:space="preserve">До начала проведения работ в рамках исполнен</w:t>
      </w:r>
      <w:r>
        <w:t xml:space="preserve">ия договора после его заключения подрядчик предоставляет список персонала с указанием сведений о квалификации персонала.</w:t>
      </w:r>
      <w:r/>
    </w:p>
    <w:p>
      <w:pPr>
        <w:pStyle w:val="808"/>
        <w:ind w:left="0"/>
      </w:pPr>
      <w:r>
        <w:rPr>
          <w:b/>
          <w:bCs/>
        </w:rPr>
        <w:t xml:space="preserve">2.</w:t>
      </w:r>
      <w:r>
        <w:rPr>
          <w:b/>
        </w:rPr>
        <w:t xml:space="preserve">Требования к результатам работ</w:t>
      </w:r>
      <w:r/>
    </w:p>
    <w:p>
      <w:pPr>
        <w:jc w:val="both"/>
        <w:rPr>
          <w:bCs/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2.1.Общие требования к результатам работ: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rPr>
          <w:bCs/>
          <w:i/>
          <w:sz w:val="24"/>
          <w:szCs w:val="24"/>
        </w:rPr>
      </w:pPr>
      <w:r>
        <w:rPr>
          <w:i/>
          <w:iCs/>
          <w:sz w:val="24"/>
          <w:szCs w:val="24"/>
        </w:rPr>
      </w:r>
      <w:r>
        <w:rPr>
          <w:bCs/>
          <w:sz w:val="24"/>
          <w:szCs w:val="24"/>
        </w:rPr>
        <w:t xml:space="preserve"> Состояние </w:t>
      </w:r>
      <w:r>
        <w:rPr>
          <w:sz w:val="24"/>
          <w:szCs w:val="24"/>
        </w:rPr>
        <w:t xml:space="preserve">отремонтированного оборудования </w:t>
      </w:r>
      <w:r>
        <w:rPr>
          <w:bCs/>
          <w:sz w:val="24"/>
          <w:szCs w:val="24"/>
        </w:rPr>
        <w:t xml:space="preserve"> должно соответствовать требованиям нормативно-технической документации на ремонт в течение гарантийного срока.</w:t>
      </w:r>
      <w:r>
        <w:rPr>
          <w:bCs/>
        </w:rPr>
        <w:t xml:space="preserve"> 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shd w:val="clear" w:color="auto" w:fill="ffffff"/>
        <w:tabs>
          <w:tab w:val="left" w:pos="317" w:leader="none"/>
          <w:tab w:val="left" w:pos="1560" w:leader="none"/>
        </w:tabs>
      </w:pPr>
      <w:r>
        <w:rPr>
          <w:b/>
          <w:sz w:val="24"/>
          <w:szCs w:val="24"/>
        </w:rPr>
        <w:t xml:space="preserve">2.2.</w:t>
      </w:r>
      <w:r>
        <w:rPr>
          <w:b/>
          <w:bCs/>
          <w:sz w:val="24"/>
          <w:szCs w:val="24"/>
        </w:rPr>
        <w:t xml:space="preserve">Требования к оформлению и составу документации </w:t>
      </w:r>
      <w:r/>
    </w:p>
    <w:p>
      <w:pPr>
        <w:pStyle w:val="772"/>
        <w:ind w:left="27"/>
        <w:jc w:val="both"/>
        <w:spacing w:before="0" w:after="0"/>
        <w:widowControl/>
        <w:rPr>
          <w:i/>
          <w:iCs/>
          <w:sz w:val="20"/>
          <w:szCs w:val="20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Представить Заказчику электронные версии Акта КС-2 и Справки КС-3 на цифровом носителе в формате *gsfx ПК «ГРАНД Сметы», в формате *.pdf и на бумажном носителе в 2-х </w:t>
      </w:r>
      <w:r>
        <w:rPr>
          <w:iCs/>
          <w:sz w:val="22"/>
          <w:szCs w:val="22"/>
          <w:highlight w:val="white"/>
          <w:lang w:val="ru-RU" w:eastAsia="ru-RU" w:bidi="ar-SA"/>
        </w:rPr>
        <w:t xml:space="preserve">экземплярах, акт ОС-3 на бумажном носителе в 2-х экземплярах, исполнительную документацию в электронном виде (в формате *.pdf) и на бумажном носителе в 2-х экземплярах, специальные журналы (сварочных работ, журнал АКЗ) на бумажном носителе в 1 экземпляре. </w:t>
      </w:r>
      <w:r>
        <w:rPr>
          <w:iCs/>
          <w:sz w:val="22"/>
          <w:szCs w:val="22"/>
          <w:lang w:val="ru-RU" w:eastAsia="ru-RU" w:bidi="ar-SA"/>
        </w:rPr>
        <w:t xml:space="preserve">Исполнител</w:t>
      </w:r>
      <w:r>
        <w:rPr>
          <w:iCs/>
          <w:sz w:val="22"/>
          <w:szCs w:val="22"/>
          <w:lang w:val="ru-RU" w:eastAsia="ru-RU" w:bidi="ar-SA"/>
        </w:rPr>
        <w:t xml:space="preserve">ьная документация должна быть оформлена в соответствии с Приказом АО «ДГК»  от 28.10.2024 №762 «О присоединении к Методическим указаниям по организации технического обслуживания и ремонта основного и вспомогательного оборудования, зданий и сооружений тепло</w:t>
      </w:r>
      <w:r>
        <w:rPr>
          <w:iCs/>
          <w:sz w:val="22"/>
          <w:szCs w:val="22"/>
          <w:lang w:val="ru-RU" w:eastAsia="ru-RU" w:bidi="ar-SA"/>
        </w:rPr>
        <w:t xml:space="preserve">вых электростанций»,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перевооружения.», утвержденным приказом №555 от 29.11.2019 г. АО «ДГК»</w:t>
      </w:r>
      <w:r>
        <w:rPr>
          <w:i/>
          <w:iCs/>
          <w:sz w:val="20"/>
          <w:szCs w:val="20"/>
          <w:highlight w:val="white"/>
        </w:rPr>
      </w:r>
    </w:p>
    <w:p>
      <w:pPr>
        <w:pStyle w:val="772"/>
        <w:ind w:left="27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Подрядчик одновременно с передачей актов приемки выполненных работ по форме КС-2 обязан оформить и передать Заказчику сдаточную документацию: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5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акт пред. ремонтного обследования объекта;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5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ведомость планируемых ремонтных работ;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5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акт готовности объекта к производству ремонтных работ;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5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акт приёмки из ремонта оборудования;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5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 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6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6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счета-фактуры на материалы, закупаемые Подрядчиком для использования в процессе ремонта;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6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  <w:highlight w:val="white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общий журнал работ формы КС-6, специальные журналы работ (соответствующие видам выполняемых работ);</w:t>
      </w:r>
      <w:r>
        <w:rPr>
          <w:iCs/>
          <w:sz w:val="22"/>
          <w:szCs w:val="22"/>
          <w:highlight w:val="white"/>
        </w:rPr>
      </w:r>
      <w:r>
        <w:rPr>
          <w:iCs/>
          <w:sz w:val="22"/>
          <w:szCs w:val="22"/>
          <w:highlight w:val="white"/>
        </w:rPr>
      </w:r>
    </w:p>
    <w:p>
      <w:pPr>
        <w:pStyle w:val="808"/>
        <w:numPr>
          <w:ilvl w:val="0"/>
          <w:numId w:val="26"/>
        </w:numPr>
        <w:contextualSpacing/>
        <w:ind w:left="0" w:firstLine="360"/>
        <w:jc w:val="both"/>
        <w:spacing w:before="0" w:after="0"/>
        <w:widowControl/>
        <w:rPr>
          <w:iCs/>
          <w:sz w:val="22"/>
          <w:szCs w:val="22"/>
        </w:rPr>
      </w:pPr>
      <w:r>
        <w:rPr>
          <w:iCs/>
          <w:sz w:val="22"/>
          <w:szCs w:val="22"/>
          <w:highlight w:val="white"/>
          <w:lang w:val="ru-RU" w:eastAsia="ru-RU" w:bidi="ar-SA"/>
        </w:rPr>
        <w:t xml:space="preserve">документы о контроле качества сварных соединений, оформленных в соответствии с</w:t>
      </w:r>
      <w:r>
        <w:rPr>
          <w:lang w:val="ru-RU" w:eastAsia="ru-RU" w:bidi="ar-SA"/>
        </w:rPr>
        <w:t xml:space="preserve"> </w:t>
      </w:r>
      <w:r>
        <w:rPr>
          <w:iCs/>
          <w:sz w:val="22"/>
          <w:szCs w:val="22"/>
          <w:lang w:val="ru-RU" w:eastAsia="ru-RU" w:bidi="ar-SA"/>
        </w:rPr>
        <w:t xml:space="preserve">Регламентом оформления документации при проведении сварочных работ при монтаже и ремонте оборудования объектов АО «ДГК»</w:t>
      </w:r>
      <w:r>
        <w:rPr>
          <w:iCs/>
          <w:sz w:val="22"/>
          <w:szCs w:val="22"/>
          <w:highlight w:val="white"/>
          <w:lang w:val="ru-RU" w:eastAsia="ru-RU" w:bidi="ar-SA"/>
        </w:rPr>
        <w:t xml:space="preserve">;</w:t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8"/>
        <w:ind w:left="0"/>
        <w:rPr>
          <w:b/>
          <w:bCs/>
        </w:rPr>
      </w:pPr>
      <w:r>
        <w:rPr>
          <w:b/>
          <w:bCs/>
        </w:rPr>
        <w:t xml:space="preserve">3</w:t>
      </w:r>
      <w:r>
        <w:rPr>
          <w:b/>
          <w:bCs/>
        </w:rPr>
        <w:t xml:space="preserve">. Перечень оборудования заказчика:</w:t>
      </w:r>
      <w:r>
        <w:rPr>
          <w:b/>
          <w:bCs/>
        </w:rPr>
      </w:r>
      <w:r>
        <w:rPr>
          <w:b/>
          <w:bCs/>
        </w:rPr>
      </w:r>
    </w:p>
    <w:p>
      <w:pPr>
        <w:pStyle w:val="808"/>
        <w:ind w:left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08"/>
        <w:ind w:left="0"/>
      </w:pPr>
      <w:r>
        <w:t xml:space="preserve">3.1. </w:t>
      </w:r>
      <w:r>
        <w:t xml:space="preserve">Турбогенератор типа ТВФ-60-2, инв .№ 00000000000000045296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hanging="142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4.      Приложение: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 w:val="0"/>
        <w:ind w:left="360" w:right="97" w:firstLine="0"/>
        <w:jc w:val="both"/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numPr>
          <w:ilvl w:val="1"/>
          <w:numId w:val="17"/>
        </w:numPr>
        <w:ind w:right="97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1.1 -1.2 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ВОР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Заказчик                                                       Подрядчик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_________________                                     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1" w:bottom="851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Lohit Devanagari">
    <w:panose1 w:val="020B0600000000000000"/>
  </w:font>
  <w:font w:name="Courier New">
    <w:panose1 w:val="02070309020205020404"/>
  </w:font>
  <w:font w:name="Wingdings">
    <w:panose1 w:val="05010000000000000000"/>
  </w:font>
  <w:font w:name="GaramondC">
    <w:panose1 w:val="02000603000000000000"/>
  </w:font>
  <w:font w:name="AvantGardeGothicC">
    <w:panose1 w:val="02000603000000000000"/>
  </w:font>
  <w:font w:name="Lucida Sans Unicode">
    <w:panose1 w:val="020B0603030804020204"/>
  </w:font>
  <w:font w:name="Verdana">
    <w:panose1 w:val="020B0604030504040204"/>
  </w:font>
  <w:font w:name="GaramondNarrowC">
    <w:panose1 w:val="02000603000000000000"/>
  </w:font>
  <w:font w:name="SchoolBookC">
    <w:panose1 w:val="02000603000000000000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rPr>
        <w:rStyle w:val="976"/>
        <w:sz w:val="16"/>
        <w:szCs w:val="16"/>
      </w:rPr>
      <w:framePr w:wrap="around" w:vAnchor="text" w:hAnchor="margin" w:xAlign="right" w:y="1"/>
    </w:pPr>
    <w:r>
      <w:rPr>
        <w:rStyle w:val="976"/>
        <w:sz w:val="16"/>
        <w:szCs w:val="16"/>
      </w:rPr>
      <w:fldChar w:fldCharType="begin"/>
    </w:r>
    <w:r>
      <w:rPr>
        <w:rStyle w:val="976"/>
        <w:sz w:val="16"/>
        <w:szCs w:val="16"/>
      </w:rPr>
      <w:instrText xml:space="preserve">PAGE  </w:instrText>
    </w:r>
    <w:r>
      <w:rPr>
        <w:rStyle w:val="976"/>
        <w:sz w:val="16"/>
        <w:szCs w:val="16"/>
      </w:rPr>
      <w:fldChar w:fldCharType="separate"/>
    </w:r>
    <w:r>
      <w:rPr>
        <w:rStyle w:val="976"/>
        <w:sz w:val="16"/>
        <w:szCs w:val="16"/>
      </w:rPr>
      <w:t xml:space="preserve">4</w:t>
    </w:r>
    <w:r>
      <w:rPr>
        <w:rStyle w:val="976"/>
        <w:sz w:val="16"/>
        <w:szCs w:val="16"/>
      </w:rPr>
      <w:fldChar w:fldCharType="end"/>
    </w:r>
    <w:r>
      <w:rPr>
        <w:rStyle w:val="976"/>
        <w:sz w:val="16"/>
        <w:szCs w:val="16"/>
      </w:rPr>
    </w:r>
    <w:r>
      <w:rPr>
        <w:rStyle w:val="976"/>
        <w:sz w:val="16"/>
        <w:szCs w:val="16"/>
      </w:rPr>
    </w:r>
  </w:p>
  <w:p>
    <w:pPr>
      <w:pStyle w:val="975"/>
      <w:ind w:right="360"/>
      <w:rPr>
        <w:rStyle w:val="976"/>
      </w:rPr>
      <w:framePr w:wrap="around" w:vAnchor="text" w:hAnchor="margin" w:xAlign="center" w:y="1"/>
    </w:pPr>
    <w:r>
      <w:rPr>
        <w:rStyle w:val="976"/>
      </w:rPr>
    </w:r>
    <w:r>
      <w:rPr>
        <w:rStyle w:val="976"/>
      </w:rPr>
    </w:r>
    <w:r>
      <w:rPr>
        <w:rStyle w:val="976"/>
      </w:rPr>
    </w:r>
  </w:p>
  <w:p>
    <w:pPr>
      <w:pStyle w:val="97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rPr>
        <w:rStyle w:val="976"/>
      </w:rPr>
      <w:framePr w:wrap="around" w:vAnchor="text" w:hAnchor="margin" w:xAlign="right" w:y="1"/>
    </w:pPr>
    <w:r>
      <w:rPr>
        <w:rStyle w:val="976"/>
      </w:rPr>
      <w:fldChar w:fldCharType="begin"/>
    </w:r>
    <w:r>
      <w:rPr>
        <w:rStyle w:val="976"/>
      </w:rPr>
      <w:instrText xml:space="preserve">PAGE  </w:instrText>
    </w:r>
    <w:r>
      <w:rPr>
        <w:rStyle w:val="976"/>
      </w:rPr>
      <w:fldChar w:fldCharType="end"/>
    </w:r>
    <w:r>
      <w:rPr>
        <w:rStyle w:val="976"/>
      </w:rPr>
    </w:r>
    <w:r>
      <w:rPr>
        <w:rStyle w:val="976"/>
      </w:rPr>
    </w:r>
  </w:p>
  <w:p>
    <w:pPr>
      <w:pStyle w:val="97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6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8" w:hanging="360"/>
        <w:tabs>
          <w:tab w:val="num" w:pos="38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08" w:hanging="360"/>
        <w:tabs>
          <w:tab w:val="num" w:pos="110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28" w:hanging="180"/>
        <w:tabs>
          <w:tab w:val="num" w:pos="182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48" w:hanging="360"/>
        <w:tabs>
          <w:tab w:val="num" w:pos="254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68" w:hanging="360"/>
        <w:tabs>
          <w:tab w:val="num" w:pos="326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88" w:hanging="180"/>
        <w:tabs>
          <w:tab w:val="num" w:pos="398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08" w:hanging="360"/>
        <w:tabs>
          <w:tab w:val="num" w:pos="470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28" w:hanging="360"/>
        <w:tabs>
          <w:tab w:val="num" w:pos="542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48" w:hanging="180"/>
        <w:tabs>
          <w:tab w:val="num" w:pos="6148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7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4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30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5" w:hanging="375"/>
        <w:tabs>
          <w:tab w:val="num" w:pos="109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bullet"/>
      <w:pStyle w:val="1142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bullet"/>
      <w:pStyle w:val="1139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96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4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8"/>
  </w:num>
  <w:num w:numId="5">
    <w:abstractNumId w:val="4"/>
  </w:num>
  <w:num w:numId="6">
    <w:abstractNumId w:val="20"/>
  </w:num>
  <w:num w:numId="7">
    <w:abstractNumId w:val="1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"/>
  </w:num>
  <w:num w:numId="10">
    <w:abstractNumId w:val="13"/>
  </w:num>
  <w:num w:numId="11">
    <w:abstractNumId w:val="7"/>
  </w:num>
  <w:num w:numId="12">
    <w:abstractNumId w:val="16"/>
  </w:num>
  <w:num w:numId="13">
    <w:abstractNumId w:val="21"/>
  </w:num>
  <w:num w:numId="14">
    <w:abstractNumId w:val="9"/>
  </w:num>
  <w:num w:numId="15">
    <w:abstractNumId w:val="2"/>
  </w:num>
  <w:num w:numId="16">
    <w:abstractNumId w:val="15"/>
  </w:num>
  <w:num w:numId="17">
    <w:abstractNumId w:val="17"/>
  </w:num>
  <w:num w:numId="18">
    <w:abstractNumId w:val="23"/>
  </w:num>
  <w:num w:numId="19">
    <w:abstractNumId w:val="5"/>
  </w:num>
  <w:num w:numId="20">
    <w:abstractNumId w:val="8"/>
  </w:num>
  <w:num w:numId="21">
    <w:abstractNumId w:val="11"/>
  </w:num>
  <w:num w:numId="22">
    <w:abstractNumId w:val="0"/>
  </w:num>
  <w:num w:numId="23">
    <w:abstractNumId w:val="14"/>
  </w:num>
  <w:num w:numId="24">
    <w:abstractNumId w:val="10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772"/>
    <w:next w:val="772"/>
    <w:link w:val="7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51">
    <w:name w:val="Header"/>
    <w:basedOn w:val="772"/>
    <w:link w:val="8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52">
    <w:name w:val="Caption"/>
    <w:basedOn w:val="772"/>
    <w:next w:val="772"/>
    <w:link w:val="8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53">
    <w:name w:val="Plain Table 1"/>
    <w:basedOn w:val="7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7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7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>
    <w:name w:val="Grid Table 5 Dark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6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4">
    <w:name w:val="Grid Table 7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6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1">
    <w:name w:val="List Table 7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72" w:default="1">
    <w:name w:val="Normal"/>
    <w:qFormat/>
    <w:rPr>
      <w:lang w:eastAsia="ru-RU"/>
    </w:rPr>
  </w:style>
  <w:style w:type="paragraph" w:styleId="773">
    <w:name w:val="Heading 2"/>
    <w:basedOn w:val="772"/>
    <w:next w:val="772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774">
    <w:name w:val="Heading 3"/>
    <w:basedOn w:val="772"/>
    <w:next w:val="772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75">
    <w:name w:val="Heading 4"/>
    <w:basedOn w:val="772"/>
    <w:next w:val="772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76">
    <w:name w:val="Heading 5"/>
    <w:basedOn w:val="772"/>
    <w:next w:val="772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77">
    <w:name w:val="Heading 6"/>
    <w:basedOn w:val="772"/>
    <w:next w:val="772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78">
    <w:name w:val="Heading 7"/>
    <w:basedOn w:val="772"/>
    <w:next w:val="772"/>
    <w:link w:val="972"/>
    <w:qFormat/>
    <w:pPr>
      <w:spacing w:before="240" w:after="60"/>
      <w:outlineLvl w:val="6"/>
    </w:pPr>
    <w:rPr>
      <w:sz w:val="24"/>
      <w:szCs w:val="24"/>
    </w:rPr>
  </w:style>
  <w:style w:type="paragraph" w:styleId="779">
    <w:name w:val="Heading 8"/>
    <w:basedOn w:val="772"/>
    <w:next w:val="772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780">
    <w:name w:val="Heading 9"/>
    <w:basedOn w:val="772"/>
    <w:next w:val="772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781" w:default="1">
    <w:name w:val="Default Paragraph Font"/>
    <w:uiPriority w:val="1"/>
    <w:semiHidden/>
    <w:unhideWhenUsed/>
  </w:style>
  <w:style w:type="table" w:styleId="7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3" w:default="1">
    <w:name w:val="No List"/>
    <w:uiPriority w:val="99"/>
    <w:semiHidden/>
    <w:unhideWhenUsed/>
  </w:style>
  <w:style w:type="character" w:styleId="784" w:customStyle="1">
    <w:name w:val="Title Char"/>
    <w:basedOn w:val="781"/>
    <w:uiPriority w:val="10"/>
    <w:rPr>
      <w:sz w:val="48"/>
      <w:szCs w:val="48"/>
    </w:rPr>
  </w:style>
  <w:style w:type="character" w:styleId="785" w:customStyle="1">
    <w:name w:val="Subtitle Char"/>
    <w:basedOn w:val="781"/>
    <w:uiPriority w:val="11"/>
    <w:rPr>
      <w:sz w:val="24"/>
      <w:szCs w:val="24"/>
    </w:rPr>
  </w:style>
  <w:style w:type="character" w:styleId="786" w:customStyle="1">
    <w:name w:val="Quote Char"/>
    <w:uiPriority w:val="29"/>
    <w:rPr>
      <w:i/>
    </w:rPr>
  </w:style>
  <w:style w:type="character" w:styleId="787" w:customStyle="1">
    <w:name w:val="Intense Quote Char"/>
    <w:uiPriority w:val="30"/>
    <w:rPr>
      <w:i/>
    </w:rPr>
  </w:style>
  <w:style w:type="character" w:styleId="788" w:customStyle="1">
    <w:name w:val="Footnote Text Char"/>
    <w:uiPriority w:val="99"/>
    <w:rPr>
      <w:sz w:val="18"/>
    </w:rPr>
  </w:style>
  <w:style w:type="character" w:styleId="789" w:customStyle="1">
    <w:name w:val="Endnote Text Char"/>
    <w:uiPriority w:val="99"/>
    <w:rPr>
      <w:sz w:val="20"/>
    </w:rPr>
  </w:style>
  <w:style w:type="paragraph" w:styleId="790" w:customStyle="1">
    <w:name w:val="Заголовок 11"/>
    <w:basedOn w:val="772"/>
    <w:next w:val="772"/>
    <w:link w:val="7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91" w:customStyle="1">
    <w:name w:val="Heading 1 Char"/>
    <w:link w:val="790"/>
    <w:uiPriority w:val="9"/>
    <w:rPr>
      <w:rFonts w:ascii="Arial" w:hAnsi="Arial" w:eastAsia="Arial" w:cs="Arial"/>
      <w:sz w:val="40"/>
      <w:szCs w:val="40"/>
    </w:rPr>
  </w:style>
  <w:style w:type="paragraph" w:styleId="792" w:customStyle="1">
    <w:name w:val="Заголовок 21"/>
    <w:basedOn w:val="772"/>
    <w:next w:val="772"/>
    <w:link w:val="7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93" w:customStyle="1">
    <w:name w:val="Heading 2 Char"/>
    <w:link w:val="792"/>
    <w:uiPriority w:val="9"/>
    <w:rPr>
      <w:rFonts w:ascii="Arial" w:hAnsi="Arial" w:eastAsia="Arial" w:cs="Arial"/>
      <w:sz w:val="34"/>
    </w:rPr>
  </w:style>
  <w:style w:type="paragraph" w:styleId="794" w:customStyle="1">
    <w:name w:val="Заголовок 31"/>
    <w:basedOn w:val="772"/>
    <w:next w:val="772"/>
    <w:link w:val="7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5" w:customStyle="1">
    <w:name w:val="Heading 3 Char"/>
    <w:link w:val="794"/>
    <w:uiPriority w:val="9"/>
    <w:rPr>
      <w:rFonts w:ascii="Arial" w:hAnsi="Arial" w:eastAsia="Arial" w:cs="Arial"/>
      <w:sz w:val="30"/>
      <w:szCs w:val="30"/>
    </w:rPr>
  </w:style>
  <w:style w:type="paragraph" w:styleId="796" w:customStyle="1">
    <w:name w:val="Заголовок 41"/>
    <w:basedOn w:val="772"/>
    <w:next w:val="772"/>
    <w:link w:val="7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7" w:customStyle="1">
    <w:name w:val="Heading 4 Char"/>
    <w:link w:val="796"/>
    <w:uiPriority w:val="9"/>
    <w:rPr>
      <w:rFonts w:ascii="Arial" w:hAnsi="Arial" w:eastAsia="Arial" w:cs="Arial"/>
      <w:b/>
      <w:bCs/>
      <w:sz w:val="26"/>
      <w:szCs w:val="26"/>
    </w:rPr>
  </w:style>
  <w:style w:type="paragraph" w:styleId="798" w:customStyle="1">
    <w:name w:val="Заголовок 51"/>
    <w:basedOn w:val="772"/>
    <w:next w:val="772"/>
    <w:link w:val="7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9" w:customStyle="1">
    <w:name w:val="Heading 5 Char"/>
    <w:link w:val="798"/>
    <w:uiPriority w:val="9"/>
    <w:rPr>
      <w:rFonts w:ascii="Arial" w:hAnsi="Arial" w:eastAsia="Arial" w:cs="Arial"/>
      <w:b/>
      <w:bCs/>
      <w:sz w:val="24"/>
      <w:szCs w:val="24"/>
    </w:rPr>
  </w:style>
  <w:style w:type="paragraph" w:styleId="800" w:customStyle="1">
    <w:name w:val="Заголовок 61"/>
    <w:basedOn w:val="772"/>
    <w:next w:val="772"/>
    <w:link w:val="8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1" w:customStyle="1">
    <w:name w:val="Heading 6 Char"/>
    <w:link w:val="800"/>
    <w:uiPriority w:val="9"/>
    <w:rPr>
      <w:rFonts w:ascii="Arial" w:hAnsi="Arial" w:eastAsia="Arial" w:cs="Arial"/>
      <w:b/>
      <w:bCs/>
      <w:sz w:val="22"/>
      <w:szCs w:val="22"/>
    </w:rPr>
  </w:style>
  <w:style w:type="paragraph" w:styleId="802" w:customStyle="1">
    <w:name w:val="Заголовок 71"/>
    <w:basedOn w:val="772"/>
    <w:next w:val="772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3" w:customStyle="1">
    <w:name w:val="Heading 7 Char"/>
    <w:link w:val="8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4" w:customStyle="1">
    <w:name w:val="Заголовок 81"/>
    <w:basedOn w:val="772"/>
    <w:next w:val="772"/>
    <w:link w:val="8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Heading 8 Char"/>
    <w:link w:val="804"/>
    <w:uiPriority w:val="9"/>
    <w:rPr>
      <w:rFonts w:ascii="Arial" w:hAnsi="Arial" w:eastAsia="Arial" w:cs="Arial"/>
      <w:i/>
      <w:iCs/>
      <w:sz w:val="22"/>
      <w:szCs w:val="22"/>
    </w:rPr>
  </w:style>
  <w:style w:type="paragraph" w:styleId="806" w:customStyle="1">
    <w:name w:val="Заголовок 91"/>
    <w:basedOn w:val="772"/>
    <w:next w:val="772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7" w:customStyle="1">
    <w:name w:val="Heading 9 Char"/>
    <w:link w:val="806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List Paragraph"/>
    <w:basedOn w:val="772"/>
    <w:uiPriority w:val="34"/>
    <w:qFormat/>
    <w:pPr>
      <w:contextualSpacing/>
      <w:ind w:left="720"/>
    </w:pPr>
    <w:rPr>
      <w:sz w:val="24"/>
      <w:szCs w:val="24"/>
    </w:rPr>
  </w:style>
  <w:style w:type="paragraph" w:styleId="809">
    <w:name w:val="No Spacing"/>
    <w:uiPriority w:val="1"/>
    <w:qFormat/>
    <w:pPr>
      <w:widowControl w:val="off"/>
    </w:pPr>
    <w:rPr>
      <w:lang w:eastAsia="ru-RU"/>
    </w:rPr>
  </w:style>
  <w:style w:type="paragraph" w:styleId="810">
    <w:name w:val="Title"/>
    <w:basedOn w:val="772"/>
    <w:next w:val="772"/>
    <w:link w:val="8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1" w:customStyle="1">
    <w:name w:val="Заголовок Знак"/>
    <w:link w:val="810"/>
    <w:uiPriority w:val="10"/>
    <w:rPr>
      <w:sz w:val="48"/>
      <w:szCs w:val="48"/>
    </w:rPr>
  </w:style>
  <w:style w:type="paragraph" w:styleId="812">
    <w:name w:val="Subtitle"/>
    <w:basedOn w:val="772"/>
    <w:link w:val="813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813" w:customStyle="1">
    <w:name w:val="Подзаголовок Знак"/>
    <w:link w:val="812"/>
    <w:uiPriority w:val="11"/>
    <w:rPr>
      <w:sz w:val="24"/>
      <w:szCs w:val="24"/>
    </w:rPr>
  </w:style>
  <w:style w:type="paragraph" w:styleId="814">
    <w:name w:val="Quote"/>
    <w:basedOn w:val="772"/>
    <w:next w:val="772"/>
    <w:link w:val="815"/>
    <w:uiPriority w:val="29"/>
    <w:qFormat/>
    <w:pPr>
      <w:ind w:left="720" w:right="720"/>
    </w:pPr>
    <w:rPr>
      <w:i/>
    </w:rPr>
  </w:style>
  <w:style w:type="character" w:styleId="815" w:customStyle="1">
    <w:name w:val="Цитата 2 Знак"/>
    <w:link w:val="814"/>
    <w:uiPriority w:val="29"/>
    <w:rPr>
      <w:i/>
    </w:rPr>
  </w:style>
  <w:style w:type="paragraph" w:styleId="816">
    <w:name w:val="Intense Quote"/>
    <w:basedOn w:val="772"/>
    <w:next w:val="772"/>
    <w:link w:val="8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7" w:customStyle="1">
    <w:name w:val="Выделенная цитата Знак"/>
    <w:link w:val="816"/>
    <w:uiPriority w:val="30"/>
    <w:rPr>
      <w:i/>
    </w:rPr>
  </w:style>
  <w:style w:type="paragraph" w:styleId="818" w:customStyle="1">
    <w:name w:val="Верхний колонтитул1"/>
    <w:basedOn w:val="772"/>
    <w:link w:val="81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19" w:customStyle="1">
    <w:name w:val="Header Char"/>
    <w:link w:val="818"/>
    <w:uiPriority w:val="99"/>
  </w:style>
  <w:style w:type="paragraph" w:styleId="820" w:customStyle="1">
    <w:name w:val="Нижний колонтитул1"/>
    <w:basedOn w:val="772"/>
    <w:link w:val="82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21" w:customStyle="1">
    <w:name w:val="Footer Char"/>
    <w:uiPriority w:val="99"/>
  </w:style>
  <w:style w:type="paragraph" w:styleId="822" w:customStyle="1">
    <w:name w:val="Название объекта1"/>
    <w:basedOn w:val="772"/>
    <w:next w:val="7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3" w:customStyle="1">
    <w:name w:val="Caption Char"/>
    <w:link w:val="820"/>
    <w:uiPriority w:val="99"/>
  </w:style>
  <w:style w:type="table" w:styleId="824">
    <w:name w:val="Table Grid"/>
    <w:basedOn w:val="782"/>
    <w:tblPr/>
  </w:style>
  <w:style w:type="table" w:styleId="82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6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8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9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1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9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6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3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4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2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0">
    <w:name w:val="Hyperlink"/>
    <w:rPr>
      <w:color w:val="0000ff"/>
      <w:u w:val="single"/>
    </w:rPr>
  </w:style>
  <w:style w:type="paragraph" w:styleId="951">
    <w:name w:val="footnote text"/>
    <w:basedOn w:val="772"/>
    <w:link w:val="952"/>
    <w:uiPriority w:val="99"/>
    <w:semiHidden/>
    <w:unhideWhenUsed/>
    <w:pPr>
      <w:spacing w:after="40"/>
    </w:pPr>
    <w:rPr>
      <w:sz w:val="18"/>
    </w:rPr>
  </w:style>
  <w:style w:type="character" w:styleId="952" w:customStyle="1">
    <w:name w:val="Текст сноски Знак"/>
    <w:link w:val="951"/>
    <w:uiPriority w:val="99"/>
    <w:rPr>
      <w:sz w:val="18"/>
    </w:rPr>
  </w:style>
  <w:style w:type="character" w:styleId="953">
    <w:name w:val="footnote reference"/>
    <w:uiPriority w:val="99"/>
    <w:unhideWhenUsed/>
    <w:rPr>
      <w:vertAlign w:val="superscript"/>
    </w:rPr>
  </w:style>
  <w:style w:type="paragraph" w:styleId="954">
    <w:name w:val="endnote text"/>
    <w:basedOn w:val="772"/>
    <w:link w:val="955"/>
    <w:uiPriority w:val="99"/>
    <w:semiHidden/>
    <w:unhideWhenUsed/>
  </w:style>
  <w:style w:type="character" w:styleId="955" w:customStyle="1">
    <w:name w:val="Текст концевой сноски Знак"/>
    <w:link w:val="954"/>
    <w:uiPriority w:val="99"/>
    <w:rPr>
      <w:sz w:val="20"/>
    </w:rPr>
  </w:style>
  <w:style w:type="character" w:styleId="956">
    <w:name w:val="endnote reference"/>
    <w:uiPriority w:val="99"/>
    <w:semiHidden/>
    <w:unhideWhenUsed/>
    <w:rPr>
      <w:vertAlign w:val="superscript"/>
    </w:rPr>
  </w:style>
  <w:style w:type="paragraph" w:styleId="957">
    <w:name w:val="toc 1"/>
    <w:basedOn w:val="772"/>
    <w:next w:val="772"/>
    <w:uiPriority w:val="39"/>
    <w:unhideWhenUsed/>
    <w:pPr>
      <w:spacing w:after="57"/>
    </w:pPr>
  </w:style>
  <w:style w:type="paragraph" w:styleId="958">
    <w:name w:val="toc 2"/>
    <w:basedOn w:val="772"/>
    <w:next w:val="772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959">
    <w:name w:val="toc 3"/>
    <w:basedOn w:val="772"/>
    <w:next w:val="772"/>
    <w:uiPriority w:val="39"/>
    <w:unhideWhenUsed/>
    <w:pPr>
      <w:ind w:left="567"/>
      <w:spacing w:after="57"/>
    </w:pPr>
  </w:style>
  <w:style w:type="paragraph" w:styleId="960">
    <w:name w:val="toc 4"/>
    <w:basedOn w:val="772"/>
    <w:next w:val="772"/>
    <w:uiPriority w:val="39"/>
    <w:unhideWhenUsed/>
    <w:pPr>
      <w:ind w:left="850"/>
      <w:spacing w:after="57"/>
    </w:pPr>
  </w:style>
  <w:style w:type="paragraph" w:styleId="961">
    <w:name w:val="toc 5"/>
    <w:basedOn w:val="772"/>
    <w:next w:val="772"/>
    <w:uiPriority w:val="39"/>
    <w:unhideWhenUsed/>
    <w:pPr>
      <w:ind w:left="1134"/>
      <w:spacing w:after="57"/>
    </w:pPr>
  </w:style>
  <w:style w:type="paragraph" w:styleId="962">
    <w:name w:val="toc 6"/>
    <w:basedOn w:val="772"/>
    <w:next w:val="772"/>
    <w:uiPriority w:val="39"/>
    <w:unhideWhenUsed/>
    <w:pPr>
      <w:ind w:left="1417"/>
      <w:spacing w:after="57"/>
    </w:pPr>
  </w:style>
  <w:style w:type="paragraph" w:styleId="963">
    <w:name w:val="toc 7"/>
    <w:basedOn w:val="772"/>
    <w:next w:val="772"/>
    <w:uiPriority w:val="39"/>
    <w:unhideWhenUsed/>
    <w:pPr>
      <w:ind w:left="1701"/>
      <w:spacing w:after="57"/>
    </w:pPr>
  </w:style>
  <w:style w:type="paragraph" w:styleId="964">
    <w:name w:val="toc 8"/>
    <w:basedOn w:val="772"/>
    <w:next w:val="772"/>
    <w:uiPriority w:val="39"/>
    <w:unhideWhenUsed/>
    <w:pPr>
      <w:ind w:left="1984"/>
      <w:spacing w:after="57"/>
    </w:pPr>
  </w:style>
  <w:style w:type="paragraph" w:styleId="965">
    <w:name w:val="toc 9"/>
    <w:basedOn w:val="772"/>
    <w:next w:val="772"/>
    <w:uiPriority w:val="39"/>
    <w:unhideWhenUsed/>
    <w:pPr>
      <w:ind w:left="2268"/>
      <w:spacing w:after="57"/>
    </w:pPr>
  </w:style>
  <w:style w:type="paragraph" w:styleId="966">
    <w:name w:val="TOC Heading"/>
    <w:uiPriority w:val="39"/>
    <w:unhideWhenUsed/>
  </w:style>
  <w:style w:type="paragraph" w:styleId="967">
    <w:name w:val="table of figures"/>
    <w:basedOn w:val="772"/>
    <w:next w:val="772"/>
    <w:uiPriority w:val="99"/>
    <w:unhideWhenUsed/>
  </w:style>
  <w:style w:type="paragraph" w:styleId="968" w:customStyle="1">
    <w:name w:val="Заголовок 1;Знак;Знак Знак"/>
    <w:basedOn w:val="772"/>
    <w:next w:val="772"/>
    <w:link w:val="970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969" w:customStyle="1">
    <w:name w:val="Основной шрифт абзаца;Знак Знак Знак2 Знак1 Знак Знак Знак Знак Знак Знак Знак Знак"/>
    <w:link w:val="1147"/>
    <w:semiHidden/>
  </w:style>
  <w:style w:type="character" w:styleId="970" w:customStyle="1">
    <w:name w:val="Заголовок 1 Знак;Знак Знак2;Знак Знак Знак2"/>
    <w:link w:val="968"/>
    <w:rPr>
      <w:rFonts w:ascii="Arial" w:hAnsi="Arial"/>
      <w:b/>
      <w:sz w:val="32"/>
      <w:lang w:val="ru-RU" w:eastAsia="ru-RU" w:bidi="ar-SA"/>
    </w:rPr>
  </w:style>
  <w:style w:type="paragraph" w:styleId="971" w:customStyle="1">
    <w:name w:val="Знак Знак Знак2 Знак1 Знак Знак Знак 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972" w:customStyle="1">
    <w:name w:val="Заголовок 7 Знак"/>
    <w:link w:val="778"/>
    <w:semiHidden/>
    <w:rPr>
      <w:sz w:val="24"/>
      <w:szCs w:val="24"/>
      <w:lang w:val="ru-RU" w:eastAsia="ru-RU" w:bidi="ar-SA"/>
    </w:rPr>
  </w:style>
  <w:style w:type="paragraph" w:styleId="973" w:customStyle="1">
    <w:name w:val="Верхний колонтитул;Название 2"/>
    <w:basedOn w:val="772"/>
    <w:link w:val="974"/>
    <w:pPr>
      <w:tabs>
        <w:tab w:val="center" w:pos="4677" w:leader="none"/>
        <w:tab w:val="right" w:pos="9355" w:leader="none"/>
      </w:tabs>
    </w:pPr>
  </w:style>
  <w:style w:type="character" w:styleId="974" w:customStyle="1">
    <w:name w:val="Верхний колонтитул Знак;Название 2 Знак"/>
    <w:link w:val="973"/>
    <w:semiHidden/>
    <w:rPr>
      <w:lang w:val="ru-RU" w:eastAsia="ru-RU" w:bidi="ar-SA"/>
    </w:rPr>
  </w:style>
  <w:style w:type="paragraph" w:styleId="975">
    <w:name w:val="Footer"/>
    <w:basedOn w:val="772"/>
    <w:pPr>
      <w:tabs>
        <w:tab w:val="center" w:pos="4677" w:leader="none"/>
        <w:tab w:val="right" w:pos="9355" w:leader="none"/>
      </w:tabs>
    </w:pPr>
  </w:style>
  <w:style w:type="character" w:styleId="976">
    <w:name w:val="page number"/>
    <w:basedOn w:val="969"/>
  </w:style>
  <w:style w:type="paragraph" w:styleId="977" w:customStyle="1">
    <w:name w:val="текст1"/>
    <w:pPr>
      <w:ind w:firstLine="397"/>
      <w:jc w:val="both"/>
    </w:pPr>
    <w:rPr>
      <w:rFonts w:ascii="SchoolBookC" w:hAnsi="SchoolBookC"/>
      <w:sz w:val="24"/>
      <w:lang w:eastAsia="ru-RU"/>
    </w:rPr>
  </w:style>
  <w:style w:type="paragraph" w:styleId="978">
    <w:name w:val="Block Text"/>
    <w:basedOn w:val="772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979" w:customStyle="1">
    <w:name w:val="втяжка"/>
    <w:basedOn w:val="977"/>
    <w:next w:val="977"/>
    <w:pPr>
      <w:ind w:left="567" w:hanging="567"/>
      <w:spacing w:before="57"/>
      <w:tabs>
        <w:tab w:val="left" w:pos="567" w:leader="none"/>
      </w:tabs>
    </w:pPr>
  </w:style>
  <w:style w:type="paragraph" w:styleId="980" w:customStyle="1">
    <w:name w:val="втяжка1"/>
    <w:basedOn w:val="979"/>
    <w:next w:val="979"/>
    <w:pPr>
      <w:ind w:left="1134"/>
      <w:tabs>
        <w:tab w:val="clear" w:pos="567" w:leader="none"/>
        <w:tab w:val="left" w:pos="1134" w:leader="none"/>
      </w:tabs>
    </w:pPr>
  </w:style>
  <w:style w:type="paragraph" w:styleId="981">
    <w:name w:val="Body Text Indent 2"/>
    <w:basedOn w:val="772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982" w:customStyle="1">
    <w:name w:val="Normal1"/>
    <w:link w:val="983"/>
    <w:pPr>
      <w:spacing w:before="100" w:after="100"/>
      <w:widowControl w:val="off"/>
    </w:pPr>
    <w:rPr>
      <w:sz w:val="24"/>
      <w:lang w:eastAsia="ru-RU"/>
    </w:rPr>
  </w:style>
  <w:style w:type="character" w:styleId="983" w:customStyle="1">
    <w:name w:val="Normal Знак"/>
    <w:link w:val="982"/>
    <w:rPr>
      <w:sz w:val="24"/>
      <w:lang w:val="ru-RU" w:eastAsia="ru-RU" w:bidi="ar-SA"/>
    </w:rPr>
  </w:style>
  <w:style w:type="paragraph" w:styleId="984">
    <w:name w:val="Body Text 2"/>
    <w:basedOn w:val="772"/>
    <w:pPr>
      <w:spacing w:after="120" w:line="480" w:lineRule="auto"/>
    </w:pPr>
  </w:style>
  <w:style w:type="paragraph" w:styleId="985" w:customStyle="1">
    <w:name w:val="текст-табл"/>
    <w:basedOn w:val="772"/>
    <w:next w:val="772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986">
    <w:name w:val="Body Text"/>
    <w:basedOn w:val="772"/>
    <w:link w:val="987"/>
    <w:pPr>
      <w:spacing w:after="120"/>
    </w:pPr>
  </w:style>
  <w:style w:type="character" w:styleId="987" w:customStyle="1">
    <w:name w:val="Основной текст Знак"/>
    <w:link w:val="986"/>
    <w:rPr>
      <w:lang w:val="ru-RU" w:eastAsia="ru-RU" w:bidi="ar-SA"/>
    </w:rPr>
  </w:style>
  <w:style w:type="paragraph" w:styleId="988">
    <w:name w:val="Body Text Indent 3"/>
    <w:basedOn w:val="772"/>
    <w:pPr>
      <w:ind w:left="283"/>
      <w:spacing w:after="120"/>
    </w:pPr>
    <w:rPr>
      <w:sz w:val="16"/>
      <w:szCs w:val="16"/>
    </w:rPr>
  </w:style>
  <w:style w:type="paragraph" w:styleId="989">
    <w:name w:val="Body Text 3"/>
    <w:basedOn w:val="772"/>
    <w:pPr>
      <w:jc w:val="center"/>
      <w:spacing w:before="120"/>
    </w:pPr>
    <w:rPr>
      <w:sz w:val="24"/>
    </w:rPr>
  </w:style>
  <w:style w:type="paragraph" w:styleId="990">
    <w:name w:val="Body Text Indent"/>
    <w:basedOn w:val="772"/>
    <w:pPr>
      <w:ind w:left="283"/>
      <w:spacing w:after="120"/>
    </w:pPr>
  </w:style>
  <w:style w:type="paragraph" w:styleId="991" w:customStyle="1">
    <w:name w:val="текст"/>
    <w:pPr>
      <w:jc w:val="both"/>
    </w:pPr>
    <w:rPr>
      <w:rFonts w:ascii="SchoolBookC" w:hAnsi="SchoolBookC"/>
      <w:color w:val="000000"/>
      <w:sz w:val="24"/>
      <w:lang w:eastAsia="ru-RU"/>
    </w:rPr>
  </w:style>
  <w:style w:type="paragraph" w:styleId="992" w:customStyle="1">
    <w:name w:val="заг_центр"/>
    <w:basedOn w:val="985"/>
    <w:pPr>
      <w:jc w:val="center"/>
    </w:pPr>
    <w:rPr>
      <w:rFonts w:ascii="AvantGardeGothicC" w:hAnsi="AvantGardeGothicC"/>
    </w:rPr>
  </w:style>
  <w:style w:type="paragraph" w:styleId="993" w:customStyle="1">
    <w:name w:val="fr1"/>
    <w:basedOn w:val="772"/>
    <w:pPr>
      <w:ind w:left="150" w:right="150"/>
      <w:spacing w:before="150" w:after="150"/>
    </w:pPr>
    <w:rPr>
      <w:sz w:val="24"/>
      <w:szCs w:val="24"/>
    </w:rPr>
  </w:style>
  <w:style w:type="paragraph" w:styleId="994" w:customStyle="1">
    <w:name w:val="ConsNormal"/>
    <w:pPr>
      <w:ind w:right="19772" w:firstLine="720"/>
    </w:pPr>
    <w:rPr>
      <w:rFonts w:ascii="Arial" w:hAnsi="Arial" w:cs="Arial"/>
      <w:lang w:eastAsia="ru-RU"/>
    </w:rPr>
  </w:style>
  <w:style w:type="paragraph" w:styleId="995" w:customStyle="1">
    <w:name w:val="Стиль1"/>
    <w:basedOn w:val="772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996" w:customStyle="1">
    <w:name w:val="Стиль2"/>
    <w:basedOn w:val="997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997">
    <w:name w:val="List Number 2"/>
    <w:basedOn w:val="772"/>
    <w:pPr>
      <w:ind w:left="432" w:hanging="432"/>
      <w:tabs>
        <w:tab w:val="num" w:pos="432" w:leader="none"/>
      </w:tabs>
    </w:pPr>
  </w:style>
  <w:style w:type="paragraph" w:styleId="998" w:customStyle="1">
    <w:name w:val="Стиль3"/>
    <w:basedOn w:val="981"/>
    <w:link w:val="999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999" w:customStyle="1">
    <w:name w:val="Стиль3 Знак"/>
    <w:link w:val="998"/>
    <w:rPr>
      <w:sz w:val="24"/>
      <w:lang w:val="ru-RU" w:eastAsia="ru-RU" w:bidi="ar-SA"/>
    </w:rPr>
  </w:style>
  <w:style w:type="character" w:styleId="1000">
    <w:name w:val="Strong"/>
    <w:qFormat/>
    <w:rPr>
      <w:b/>
      <w:bCs/>
    </w:rPr>
  </w:style>
  <w:style w:type="paragraph" w:styleId="1001" w:customStyle="1">
    <w:name w:val="9"/>
    <w:basedOn w:val="772"/>
    <w:pPr>
      <w:jc w:val="center"/>
    </w:pPr>
    <w:rPr>
      <w:rFonts w:eastAsia="Arial Unicode MS"/>
      <w:b/>
      <w:bCs/>
      <w:sz w:val="16"/>
      <w:szCs w:val="16"/>
    </w:rPr>
  </w:style>
  <w:style w:type="paragraph" w:styleId="1002" w:customStyle="1">
    <w:name w:val="Контракт-пункт"/>
    <w:basedOn w:val="772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1003" w:customStyle="1">
    <w:name w:val="Текст_начало_2"/>
    <w:basedOn w:val="772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004" w:customStyle="1">
    <w:name w:val="02statia1"/>
    <w:basedOn w:val="772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005" w:customStyle="1">
    <w:name w:val="02statia2"/>
    <w:basedOn w:val="772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06" w:customStyle="1">
    <w:name w:val="02statia3"/>
    <w:basedOn w:val="772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07" w:customStyle="1">
    <w:name w:val="03zagolovok2"/>
    <w:basedOn w:val="772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08" w:customStyle="1">
    <w:name w:val="директор"/>
    <w:basedOn w:val="772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009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  <w:lang w:eastAsia="ru-RU"/>
    </w:rPr>
  </w:style>
  <w:style w:type="character" w:styleId="1010" w:customStyle="1">
    <w:name w:val="Основной шрифт"/>
    <w:semiHidden/>
  </w:style>
  <w:style w:type="paragraph" w:styleId="1011">
    <w:name w:val="Balloon Text"/>
    <w:basedOn w:val="772"/>
    <w:semiHidden/>
    <w:rPr>
      <w:rFonts w:ascii="Tahoma" w:hAnsi="Tahoma" w:cs="Tahoma"/>
      <w:sz w:val="16"/>
      <w:szCs w:val="16"/>
    </w:rPr>
  </w:style>
  <w:style w:type="paragraph" w:styleId="1012" w:customStyle="1">
    <w:name w:val="Комментарий"/>
    <w:basedOn w:val="772"/>
    <w:next w:val="772"/>
    <w:pPr>
      <w:ind w:left="170"/>
      <w:jc w:val="both"/>
    </w:pPr>
    <w:rPr>
      <w:rFonts w:ascii="Arial" w:hAnsi="Arial"/>
      <w:i/>
      <w:iCs/>
      <w:color w:val="800080"/>
    </w:rPr>
  </w:style>
  <w:style w:type="character" w:styleId="1013" w:customStyle="1">
    <w:name w:val="Стиль3 Знак Знак"/>
    <w:rPr>
      <w:sz w:val="24"/>
      <w:lang w:val="ru-RU" w:eastAsia="ru-RU" w:bidi="ar-SA"/>
    </w:rPr>
  </w:style>
  <w:style w:type="paragraph" w:styleId="1014" w:customStyle="1">
    <w:name w:val="Обычный + 14 pt;по ширине;Первая строка:  1;27 см"/>
    <w:basedOn w:val="772"/>
    <w:pPr>
      <w:ind w:firstLine="720"/>
      <w:jc w:val="both"/>
    </w:pPr>
    <w:rPr>
      <w:sz w:val="28"/>
    </w:rPr>
  </w:style>
  <w:style w:type="character" w:styleId="1015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16">
    <w:name w:val="HTML Preformatted"/>
    <w:basedOn w:val="772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017" w:customStyle="1">
    <w:name w:val="Знак1 Знак Знак Знак 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18" w:customStyle="1">
    <w:name w:val="Знак 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19" w:customStyle="1">
    <w:name w:val="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20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21" w:customStyle="1">
    <w:name w:val="Обычный (веб);Обычный (Web)"/>
    <w:basedOn w:val="772"/>
    <w:link w:val="1022"/>
    <w:pPr>
      <w:spacing w:before="100" w:after="100"/>
    </w:pPr>
    <w:rPr>
      <w:sz w:val="24"/>
    </w:rPr>
  </w:style>
  <w:style w:type="character" w:styleId="1022" w:customStyle="1">
    <w:name w:val="Обычный (веб) Знак;Обычный (Web) Знак"/>
    <w:link w:val="1021"/>
    <w:rPr>
      <w:sz w:val="24"/>
      <w:lang w:val="ru-RU" w:eastAsia="ru-RU" w:bidi="ar-SA"/>
    </w:rPr>
  </w:style>
  <w:style w:type="paragraph" w:styleId="1023" w:customStyle="1">
    <w:name w:val="Знак1 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24">
    <w:name w:val="List Bullet"/>
    <w:basedOn w:val="772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25" w:customStyle="1">
    <w:name w:val="Char Char1 Знак Знак Знак"/>
    <w:basedOn w:val="772"/>
    <w:rPr>
      <w:rFonts w:ascii="Verdana" w:hAnsi="Verdana" w:cs="Verdana"/>
      <w:lang w:val="en-US" w:eastAsia="en-US"/>
    </w:rPr>
  </w:style>
  <w:style w:type="paragraph" w:styleId="1026" w:customStyle="1">
    <w:name w:val="Знак1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27" w:customStyle="1">
    <w:name w:val="Содержимое таблицы"/>
    <w:basedOn w:val="772"/>
    <w:pPr>
      <w:suppressLineNumbers/>
    </w:pPr>
    <w:rPr>
      <w:sz w:val="24"/>
      <w:szCs w:val="24"/>
      <w:lang w:eastAsia="ar-SA"/>
    </w:rPr>
  </w:style>
  <w:style w:type="paragraph" w:styleId="1028" w:customStyle="1">
    <w:name w:val="1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29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30" w:customStyle="1">
    <w:name w:val="Условия контракта"/>
    <w:basedOn w:val="772"/>
    <w:semiHidden/>
    <w:pPr>
      <w:ind w:left="567" w:hanging="567"/>
      <w:jc w:val="both"/>
      <w:spacing w:before="240" w:after="120"/>
      <w:tabs>
        <w:tab w:val="num" w:pos="567" w:leader="none"/>
      </w:tabs>
    </w:pPr>
    <w:rPr>
      <w:b/>
      <w:sz w:val="24"/>
    </w:rPr>
  </w:style>
  <w:style w:type="paragraph" w:styleId="1031" w:customStyle="1">
    <w:name w:val="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32" w:customStyle="1">
    <w:name w:val="Знак Знак Знак Знак Знак Знак Знак Знак Знак Знак"/>
    <w:basedOn w:val="772"/>
    <w:rPr>
      <w:rFonts w:ascii="Verdana" w:hAnsi="Verdana" w:cs="Verdana"/>
      <w:lang w:val="en-US" w:eastAsia="en-US"/>
    </w:rPr>
  </w:style>
  <w:style w:type="paragraph" w:styleId="1033" w:customStyle="1">
    <w:name w:val="Знак1 Знак Знак Знак Знак Знак Знак 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34" w:customStyle="1">
    <w:name w:val="WW-Absatz-Standardschriftart"/>
  </w:style>
  <w:style w:type="paragraph" w:styleId="1035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character" w:styleId="1036" w:customStyle="1">
    <w:name w:val="Гипертекстовая ссылка"/>
    <w:rPr>
      <w:color w:val="008000"/>
    </w:rPr>
  </w:style>
  <w:style w:type="paragraph" w:styleId="1037" w:customStyle="1">
    <w:name w:val="Знак Знак Знак2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38" w:customStyle="1">
    <w:name w:val="Знак Знак Знак2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39" w:customStyle="1">
    <w:name w:val="Знак 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40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41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paragraph" w:styleId="1042">
    <w:name w:val="Plain Text"/>
    <w:basedOn w:val="772"/>
    <w:rPr>
      <w:rFonts w:ascii="Courier New" w:hAnsi="Courier New"/>
      <w:szCs w:val="24"/>
    </w:rPr>
  </w:style>
  <w:style w:type="paragraph" w:styleId="1043" w:customStyle="1">
    <w:name w:val="ConsCell"/>
    <w:pPr>
      <w:widowControl w:val="off"/>
    </w:pPr>
    <w:rPr>
      <w:rFonts w:ascii="Arial" w:hAnsi="Arial" w:cs="Arial"/>
      <w:lang w:eastAsia="ru-RU"/>
    </w:rPr>
  </w:style>
  <w:style w:type="character" w:styleId="1044" w:customStyle="1">
    <w:name w:val="Знак Знак3"/>
    <w:rPr>
      <w:lang w:val="ru-RU" w:eastAsia="ru-RU" w:bidi="ar-SA"/>
    </w:rPr>
  </w:style>
  <w:style w:type="character" w:styleId="1045" w:customStyle="1">
    <w:name w:val="Обычный (Web) Знак Знак"/>
    <w:rPr>
      <w:sz w:val="24"/>
      <w:lang w:val="ru-RU" w:eastAsia="ru-RU" w:bidi="ar-SA"/>
    </w:rPr>
  </w:style>
  <w:style w:type="character" w:styleId="1046" w:customStyle="1">
    <w:name w:val="Название 2 Знак Знак"/>
    <w:semiHidden/>
    <w:rPr>
      <w:lang w:val="ru-RU" w:eastAsia="ru-RU" w:bidi="ar-SA"/>
    </w:rPr>
  </w:style>
  <w:style w:type="paragraph" w:styleId="1047" w:customStyle="1">
    <w:name w:val="Знак2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48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49" w:customStyle="1">
    <w:name w:val="Знак Знак7"/>
    <w:rPr>
      <w:lang w:val="ru-RU" w:eastAsia="ru-RU" w:bidi="ar-SA"/>
    </w:rPr>
  </w:style>
  <w:style w:type="paragraph" w:styleId="1050" w:customStyle="1">
    <w:name w:val="Знак1 Знак Знак Знак Знак Знак"/>
    <w:basedOn w:val="77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051" w:customStyle="1">
    <w:name w:val="Знак Знак Знак Знак Знак Знак Знак Знак Знак Знак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52" w:customStyle="1">
    <w:name w:val="Знак Знак Char Char"/>
    <w:basedOn w:val="772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53" w:customStyle="1">
    <w:name w:val="Absatz-Standardschriftart"/>
  </w:style>
  <w:style w:type="character" w:styleId="1054" w:customStyle="1">
    <w:name w:val="Основной шрифт абзаца4"/>
  </w:style>
  <w:style w:type="character" w:styleId="1055" w:customStyle="1">
    <w:name w:val="WW-Absatz-Standardschriftart1"/>
  </w:style>
  <w:style w:type="character" w:styleId="1056" w:customStyle="1">
    <w:name w:val="Основной шрифт абзаца3"/>
  </w:style>
  <w:style w:type="character" w:styleId="1057" w:customStyle="1">
    <w:name w:val="WW-Absatz-Standardschriftart11"/>
  </w:style>
  <w:style w:type="character" w:styleId="1058" w:customStyle="1">
    <w:name w:val="WW-Absatz-Standardschriftart111"/>
  </w:style>
  <w:style w:type="character" w:styleId="1059" w:customStyle="1">
    <w:name w:val="Основной шрифт абзаца2"/>
  </w:style>
  <w:style w:type="character" w:styleId="1060" w:customStyle="1">
    <w:name w:val="WW-Absatz-Standardschriftart1111"/>
  </w:style>
  <w:style w:type="character" w:styleId="1061" w:customStyle="1">
    <w:name w:val="WW8Num1z0"/>
    <w:rPr>
      <w:rFonts w:ascii="Symbol" w:hAnsi="Symbol"/>
    </w:rPr>
  </w:style>
  <w:style w:type="character" w:styleId="1062" w:customStyle="1">
    <w:name w:val="WW8Num3z0"/>
    <w:rPr>
      <w:sz w:val="24"/>
    </w:rPr>
  </w:style>
  <w:style w:type="character" w:styleId="1063" w:customStyle="1">
    <w:name w:val="WW8Num6z0"/>
    <w:rPr>
      <w:rFonts w:ascii="Times New Roman" w:hAnsi="Times New Roman" w:eastAsia="Times New Roman"/>
    </w:rPr>
  </w:style>
  <w:style w:type="character" w:styleId="1064" w:customStyle="1">
    <w:name w:val="WW8Num6z1"/>
    <w:rPr>
      <w:rFonts w:ascii="Courier New" w:hAnsi="Courier New" w:cs="Courier New"/>
    </w:rPr>
  </w:style>
  <w:style w:type="character" w:styleId="1065" w:customStyle="1">
    <w:name w:val="WW8Num6z2"/>
    <w:rPr>
      <w:rFonts w:ascii="Wingdings" w:hAnsi="Wingdings" w:cs="Times New Roman"/>
    </w:rPr>
  </w:style>
  <w:style w:type="character" w:styleId="1066" w:customStyle="1">
    <w:name w:val="WW8Num6z3"/>
    <w:rPr>
      <w:rFonts w:ascii="Symbol" w:hAnsi="Symbol" w:cs="Times New Roman"/>
    </w:rPr>
  </w:style>
  <w:style w:type="character" w:styleId="1067" w:customStyle="1">
    <w:name w:val="WW8Num8z0"/>
    <w:rPr>
      <w:rFonts w:ascii="Symbol" w:hAnsi="Symbol"/>
    </w:rPr>
  </w:style>
  <w:style w:type="character" w:styleId="1068" w:customStyle="1">
    <w:name w:val="WW8Num8z1"/>
    <w:rPr>
      <w:rFonts w:ascii="Courier New" w:hAnsi="Courier New"/>
    </w:rPr>
  </w:style>
  <w:style w:type="character" w:styleId="1069" w:customStyle="1">
    <w:name w:val="WW8Num8z2"/>
    <w:rPr>
      <w:rFonts w:ascii="Wingdings" w:hAnsi="Wingdings"/>
    </w:rPr>
  </w:style>
  <w:style w:type="character" w:styleId="1070" w:customStyle="1">
    <w:name w:val="Основной шрифт абзаца1"/>
  </w:style>
  <w:style w:type="paragraph" w:styleId="1071" w:customStyle="1">
    <w:name w:val="Заголовок1"/>
    <w:basedOn w:val="772"/>
    <w:next w:val="986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1072">
    <w:name w:val="List"/>
    <w:basedOn w:val="986"/>
    <w:rPr>
      <w:rFonts w:ascii="Arial" w:hAnsi="Arial" w:cs="Tahoma"/>
      <w:lang w:eastAsia="ar-SA"/>
    </w:rPr>
  </w:style>
  <w:style w:type="paragraph" w:styleId="1073" w:customStyle="1">
    <w:name w:val="Название4"/>
    <w:basedOn w:val="77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74" w:customStyle="1">
    <w:name w:val="Указатель4"/>
    <w:basedOn w:val="772"/>
    <w:pPr>
      <w:suppressLineNumbers/>
    </w:pPr>
    <w:rPr>
      <w:rFonts w:ascii="Arial" w:hAnsi="Arial" w:cs="Tahoma"/>
      <w:lang w:eastAsia="ar-SA"/>
    </w:rPr>
  </w:style>
  <w:style w:type="paragraph" w:styleId="1075" w:customStyle="1">
    <w:name w:val="Название3"/>
    <w:basedOn w:val="77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76" w:customStyle="1">
    <w:name w:val="Указатель3"/>
    <w:basedOn w:val="772"/>
    <w:pPr>
      <w:suppressLineNumbers/>
    </w:pPr>
    <w:rPr>
      <w:rFonts w:ascii="Arial" w:hAnsi="Arial" w:cs="Tahoma"/>
      <w:lang w:eastAsia="ar-SA"/>
    </w:rPr>
  </w:style>
  <w:style w:type="paragraph" w:styleId="1077" w:customStyle="1">
    <w:name w:val="Название2"/>
    <w:basedOn w:val="77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78" w:customStyle="1">
    <w:name w:val="Указатель2"/>
    <w:basedOn w:val="772"/>
    <w:pPr>
      <w:suppressLineNumbers/>
    </w:pPr>
    <w:rPr>
      <w:rFonts w:ascii="Arial" w:hAnsi="Arial" w:cs="Tahoma"/>
      <w:lang w:eastAsia="ar-SA"/>
    </w:rPr>
  </w:style>
  <w:style w:type="paragraph" w:styleId="1079" w:customStyle="1">
    <w:name w:val="Название1"/>
    <w:basedOn w:val="77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080" w:customStyle="1">
    <w:name w:val="Указатель1"/>
    <w:basedOn w:val="772"/>
    <w:pPr>
      <w:suppressLineNumbers/>
    </w:pPr>
    <w:rPr>
      <w:rFonts w:ascii="Arial" w:hAnsi="Arial" w:cs="Tahoma"/>
      <w:lang w:eastAsia="ar-SA"/>
    </w:rPr>
  </w:style>
  <w:style w:type="paragraph" w:styleId="1081" w:customStyle="1">
    <w:name w:val="заголовок 1"/>
    <w:basedOn w:val="772"/>
    <w:next w:val="772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082" w:customStyle="1">
    <w:name w:val="заголовок 2"/>
    <w:basedOn w:val="772"/>
    <w:next w:val="772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083" w:customStyle="1">
    <w:name w:val="Основной текст с отступом 21"/>
    <w:basedOn w:val="772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084" w:customStyle="1">
    <w:name w:val="Маркированный список 31"/>
    <w:basedOn w:val="772"/>
    <w:pPr>
      <w:ind w:left="849" w:hanging="283"/>
    </w:pPr>
    <w:rPr>
      <w:lang w:eastAsia="ar-SA"/>
    </w:rPr>
  </w:style>
  <w:style w:type="paragraph" w:styleId="1085" w:customStyle="1">
    <w:name w:val="font5"/>
    <w:basedOn w:val="772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086" w:customStyle="1">
    <w:name w:val="font6"/>
    <w:basedOn w:val="772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087" w:customStyle="1">
    <w:name w:val="font7"/>
    <w:basedOn w:val="772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088" w:customStyle="1">
    <w:name w:val="xl24"/>
    <w:basedOn w:val="772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089" w:customStyle="1">
    <w:name w:val="xl25"/>
    <w:basedOn w:val="772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090" w:customStyle="1">
    <w:name w:val="xl26"/>
    <w:basedOn w:val="772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091" w:customStyle="1">
    <w:name w:val="xl27"/>
    <w:basedOn w:val="772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092" w:customStyle="1">
    <w:name w:val="xl28"/>
    <w:basedOn w:val="772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093" w:customStyle="1">
    <w:name w:val="xl29"/>
    <w:basedOn w:val="772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094" w:customStyle="1">
    <w:name w:val="xl30"/>
    <w:basedOn w:val="772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095" w:customStyle="1">
    <w:name w:val="xl31"/>
    <w:basedOn w:val="772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096" w:customStyle="1">
    <w:name w:val="xl32"/>
    <w:basedOn w:val="772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97" w:customStyle="1">
    <w:name w:val="xl33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098" w:customStyle="1">
    <w:name w:val="xl34"/>
    <w:basedOn w:val="772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99" w:customStyle="1">
    <w:name w:val="xl35"/>
    <w:basedOn w:val="772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00" w:customStyle="1">
    <w:name w:val="xl36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01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02" w:customStyle="1">
    <w:name w:val="xl37"/>
    <w:basedOn w:val="772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03" w:customStyle="1">
    <w:name w:val="xl38"/>
    <w:basedOn w:val="772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04" w:customStyle="1">
    <w:name w:val="xl39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05" w:customStyle="1">
    <w:name w:val="xl40"/>
    <w:basedOn w:val="772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06" w:customStyle="1">
    <w:name w:val="xl41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07" w:customStyle="1">
    <w:name w:val="xl42"/>
    <w:basedOn w:val="772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108" w:customStyle="1">
    <w:name w:val="xl43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09" w:customStyle="1">
    <w:name w:val="xl44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10" w:customStyle="1">
    <w:name w:val="xl45"/>
    <w:basedOn w:val="772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11" w:customStyle="1">
    <w:name w:val="xl46"/>
    <w:basedOn w:val="772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112" w:customStyle="1">
    <w:name w:val="xl47"/>
    <w:basedOn w:val="772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13" w:customStyle="1">
    <w:name w:val="xl48"/>
    <w:basedOn w:val="772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14" w:customStyle="1">
    <w:name w:val="xl49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15" w:customStyle="1">
    <w:name w:val="xl50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16" w:customStyle="1">
    <w:name w:val="xl51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17" w:customStyle="1">
    <w:name w:val="xl52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18" w:customStyle="1">
    <w:name w:val="xl53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19" w:customStyle="1">
    <w:name w:val="xl54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0" w:customStyle="1">
    <w:name w:val="xl55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1" w:customStyle="1">
    <w:name w:val="xl56"/>
    <w:basedOn w:val="772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2" w:customStyle="1">
    <w:name w:val="xl57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3" w:customStyle="1">
    <w:name w:val="xl58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4" w:customStyle="1">
    <w:name w:val="xl59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5" w:customStyle="1">
    <w:name w:val="xl60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6" w:customStyle="1">
    <w:name w:val="xl61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7" w:customStyle="1">
    <w:name w:val="xl62"/>
    <w:basedOn w:val="772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8" w:customStyle="1">
    <w:name w:val="xl63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29" w:customStyle="1">
    <w:name w:val="xl64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30" w:customStyle="1">
    <w:name w:val="xl65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31" w:customStyle="1">
    <w:name w:val="xl66"/>
    <w:basedOn w:val="772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32" w:customStyle="1">
    <w:name w:val="xl67"/>
    <w:basedOn w:val="77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33" w:customStyle="1">
    <w:name w:val="xl68"/>
    <w:basedOn w:val="77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34" w:customStyle="1">
    <w:name w:val="xl69"/>
    <w:basedOn w:val="772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35" w:customStyle="1">
    <w:name w:val="Заголовок таблицы"/>
    <w:basedOn w:val="1027"/>
    <w:pPr>
      <w:jc w:val="center"/>
    </w:pPr>
    <w:rPr>
      <w:b/>
      <w:bCs/>
      <w:sz w:val="20"/>
      <w:szCs w:val="20"/>
    </w:rPr>
  </w:style>
  <w:style w:type="paragraph" w:styleId="1136">
    <w:name w:val="Document Map"/>
    <w:basedOn w:val="772"/>
    <w:rPr>
      <w:rFonts w:ascii="Tahoma" w:hAnsi="Tahoma" w:cs="Tahoma"/>
      <w:sz w:val="16"/>
      <w:szCs w:val="16"/>
      <w:lang w:eastAsia="ar-SA"/>
    </w:rPr>
  </w:style>
  <w:style w:type="paragraph" w:styleId="1137" w:customStyle="1">
    <w:name w:val="Знак Знак Char Char"/>
    <w:basedOn w:val="772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38" w:customStyle="1">
    <w:name w:val="Знак Знак Знак2 Знак1"/>
    <w:basedOn w:val="77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39">
    <w:name w:val="List Bullet 2"/>
    <w:basedOn w:val="772"/>
    <w:pPr>
      <w:numPr>
        <w:ilvl w:val="0"/>
        <w:numId w:val="6"/>
      </w:numPr>
    </w:pPr>
  </w:style>
  <w:style w:type="paragraph" w:styleId="1140" w:customStyle="1">
    <w:name w:val="Пункт_2"/>
    <w:basedOn w:val="772"/>
    <w:pPr>
      <w:numPr>
        <w:ilvl w:val="1"/>
        <w:numId w:val="8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41">
    <w:name w:val="List 2"/>
    <w:basedOn w:val="772"/>
    <w:pPr>
      <w:ind w:left="566" w:hanging="283"/>
    </w:pPr>
  </w:style>
  <w:style w:type="paragraph" w:styleId="1142">
    <w:name w:val="List Bullet 4"/>
    <w:basedOn w:val="772"/>
    <w:pPr>
      <w:numPr>
        <w:ilvl w:val="0"/>
        <w:numId w:val="10"/>
      </w:numPr>
    </w:pPr>
  </w:style>
  <w:style w:type="paragraph" w:styleId="1143">
    <w:name w:val="List 4"/>
    <w:basedOn w:val="772"/>
    <w:pPr>
      <w:ind w:left="1132" w:hanging="283"/>
    </w:pPr>
  </w:style>
  <w:style w:type="paragraph" w:styleId="1144">
    <w:name w:val="List 3"/>
    <w:basedOn w:val="772"/>
    <w:pPr>
      <w:ind w:left="849" w:hanging="283"/>
    </w:pPr>
  </w:style>
  <w:style w:type="paragraph" w:styleId="1145">
    <w:name w:val="List Continue 3"/>
    <w:basedOn w:val="772"/>
    <w:pPr>
      <w:ind w:left="849"/>
      <w:spacing w:after="120"/>
    </w:pPr>
  </w:style>
  <w:style w:type="paragraph" w:styleId="1146">
    <w:name w:val="Body Text First Indent 2"/>
    <w:basedOn w:val="990"/>
    <w:pPr>
      <w:ind w:firstLine="210"/>
    </w:pPr>
  </w:style>
  <w:style w:type="paragraph" w:styleId="1147" w:customStyle="1">
    <w:name w:val="Знак Знак Знак2 Знак1 Знак Знак Знак Знак"/>
    <w:basedOn w:val="772"/>
    <w:link w:val="96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48" w:customStyle="1">
    <w:name w:val="Основной текст_"/>
    <w:link w:val="1149"/>
    <w:rPr>
      <w:shd w:val="clear" w:color="auto" w:fill="ffffff"/>
    </w:rPr>
  </w:style>
  <w:style w:type="paragraph" w:styleId="1149" w:customStyle="1">
    <w:name w:val="Основной текст1"/>
    <w:basedOn w:val="772"/>
    <w:link w:val="1148"/>
    <w:pPr>
      <w:jc w:val="right"/>
      <w:spacing w:line="295" w:lineRule="exact"/>
      <w:shd w:val="clear" w:color="auto" w:fill="ffffff"/>
      <w:widowControl w:val="off"/>
    </w:pPr>
    <w:rPr>
      <w:shd w:val="clear" w:color="auto" w:fill="ffffff"/>
    </w:rPr>
  </w:style>
  <w:style w:type="character" w:styleId="1150" w:customStyle="1">
    <w:name w:val="комментарий"/>
    <w:rPr>
      <w:b/>
      <w:i/>
      <w:shd w:val="clear" w:color="auto" w:fill="ffff99"/>
    </w:rPr>
  </w:style>
  <w:style w:type="paragraph" w:styleId="1151">
    <w:name w:val="Normal (Web)"/>
    <w:basedOn w:val="77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52" w:customStyle="1">
    <w:name w:val="docdata"/>
    <w:basedOn w:val="772"/>
    <w:pPr>
      <w:spacing w:before="100" w:beforeAutospacing="1" w:after="100" w:afterAutospacing="1"/>
    </w:pPr>
    <w:rPr>
      <w:sz w:val="24"/>
      <w:szCs w:val="24"/>
    </w:rPr>
  </w:style>
  <w:style w:type="paragraph" w:styleId="1_1346" w:customStyle="1">
    <w:name w:val="annotation text"/>
    <w:basedOn w:val="835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tilichkina_mv</cp:lastModifiedBy>
  <cp:revision>17</cp:revision>
  <dcterms:created xsi:type="dcterms:W3CDTF">2024-03-20T00:56:00Z</dcterms:created>
  <dcterms:modified xsi:type="dcterms:W3CDTF">2025-07-28T00:23:23Z</dcterms:modified>
  <cp:version>917504</cp:version>
</cp:coreProperties>
</file>